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sz w:val="26"/>
          <w:szCs w:val="26"/>
        </w:rPr>
      </w:pPr>
      <w:r w:rsidDel="00000000" w:rsidR="00000000" w:rsidRPr="00000000">
        <w:rPr>
          <w:b w:val="1"/>
          <w:bCs w:val="1"/>
          <w:sz w:val="26"/>
          <w:szCs w:val="26"/>
          <w:rtl w:val="0"/>
        </w:rPr>
        <w:t xml:space="preserve">Obstructive Sleep Apnea Associated With Left Knee Tendonitis (Claimed As Left Knee Pain) as Secondary to Chronic Pain</w:t>
      </w:r>
    </w:p>
    <w:p w:rsidR="00000000" w:rsidDel="00000000" w:rsidP="00000000" w:rsidRDefault="00000000" w:rsidRPr="00000000" w14:paraId="00000002">
      <w:pPr>
        <w:pStyle w:val="Heading1"/>
        <w:keepNext w:val="0"/>
        <w:keepLines w:val="0"/>
        <w:widowControl w:val="0"/>
        <w:spacing w:before="480" w:line="240" w:lineRule="auto"/>
        <w:rPr>
          <w:b w:val="1"/>
          <w:bCs w:val="1"/>
          <w:sz w:val="22"/>
          <w:szCs w:val="22"/>
        </w:rPr>
      </w:pPr>
      <w:bookmarkStart w:colFirst="0" w:colLast="0" w:name="_j7ibyds74gqn" w:id="0"/>
      <w:bookmarkEnd w:id="0"/>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03">
      <w:pPr>
        <w:widowControl w:val="0"/>
        <w:numPr>
          <w:ilvl w:val="0"/>
          <w:numId w:val="3"/>
        </w:numPr>
        <w:spacing w:after="0" w:afterAutospacing="0" w:before="240" w:line="240" w:lineRule="auto"/>
        <w:ind w:left="720" w:hanging="360"/>
      </w:pPr>
      <w:r w:rsidDel="00000000" w:rsidR="00000000" w:rsidRPr="00000000">
        <w:rPr>
          <w:rtl w:val="0"/>
        </w:rPr>
        <w:t xml:space="preserve">Research establishes that more than half of patients suffering from chronic pain also experience clinically significant sleep disorders, including fragmented sleep and excessive daytime fatigue. </w:t>
      </w:r>
      <w:r w:rsidDel="00000000" w:rsidR="00000000" w:rsidRPr="00000000">
        <w:rPr>
          <w:i w:val="1"/>
          <w:iCs w:val="1"/>
          <w:rtl w:val="0"/>
        </w:rPr>
        <w:t xml:space="preserve">(See “Sleep disorders in chronic pain and its neurochemical mechanisms: a narrative review’ [Duo et al] [</w:t>
      </w:r>
      <w:hyperlink r:id="rId6">
        <w:r w:rsidDel="00000000" w:rsidR="00000000" w:rsidRPr="00000000">
          <w:rPr>
            <w:i w:val="1"/>
            <w:iCs w:val="1"/>
            <w:color w:val="1155cc"/>
            <w:u w:val="single"/>
            <w:rtl w:val="0"/>
          </w:rPr>
          <w:t xml:space="preserve">https://pmc.ncbi.nlm.nih.gov/articles/PMC10267346/</w:t>
        </w:r>
      </w:hyperlink>
      <w:r w:rsidDel="00000000" w:rsidR="00000000" w:rsidRPr="00000000">
        <w:rPr>
          <w:i w:val="1"/>
          <w:iCs w:val="1"/>
          <w:rtl w:val="0"/>
        </w:rPr>
        <w:t xml:space="preserve">])</w:t>
      </w:r>
    </w:p>
    <w:p w:rsidR="00000000" w:rsidDel="00000000" w:rsidP="00000000" w:rsidRDefault="00000000" w:rsidRPr="00000000" w14:paraId="00000004">
      <w:pPr>
        <w:widowControl w:val="0"/>
        <w:numPr>
          <w:ilvl w:val="1"/>
          <w:numId w:val="3"/>
        </w:numPr>
        <w:spacing w:after="0" w:afterAutospacing="0" w:before="0" w:beforeAutospacing="0" w:line="240" w:lineRule="auto"/>
        <w:ind w:left="1440" w:hanging="360"/>
      </w:pPr>
      <w:r w:rsidDel="00000000" w:rsidR="00000000" w:rsidRPr="00000000">
        <w:rPr>
          <w:rtl w:val="0"/>
        </w:rPr>
        <w:t xml:space="preserve">Medical literature further explains that chronic pain contributes to sleep disruption, reduced restorative sleep, and worsening functional impairment, which can aggravate or contribute to conditions such as OSA.</w:t>
      </w:r>
      <w:r w:rsidDel="00000000" w:rsidR="00000000" w:rsidRPr="00000000">
        <w:rPr>
          <w:rtl w:val="0"/>
        </w:rPr>
      </w:r>
    </w:p>
    <w:p w:rsidR="00000000" w:rsidDel="00000000" w:rsidP="00000000" w:rsidRDefault="00000000" w:rsidRPr="00000000" w14:paraId="00000005">
      <w:pPr>
        <w:widowControl w:val="0"/>
        <w:numPr>
          <w:ilvl w:val="1"/>
          <w:numId w:val="3"/>
        </w:numPr>
        <w:spacing w:after="0" w:afterAutospacing="0" w:before="0" w:beforeAutospacing="0" w:line="240" w:lineRule="auto"/>
        <w:ind w:left="1440" w:hanging="360"/>
      </w:pPr>
      <w:r w:rsidDel="00000000" w:rsidR="00000000" w:rsidRPr="00000000">
        <w:rPr>
          <w:rtl w:val="0"/>
        </w:rPr>
        <w:t xml:space="preserve">Scientific literature recognizes that orthopedic pain and mobility limitations contribute to sedentary behavior and progressive weight gain.</w:t>
      </w:r>
    </w:p>
    <w:p w:rsidR="00000000" w:rsidDel="00000000" w:rsidP="00000000" w:rsidRDefault="00000000" w:rsidRPr="00000000" w14:paraId="00000006">
      <w:pPr>
        <w:widowControl w:val="0"/>
        <w:numPr>
          <w:ilvl w:val="1"/>
          <w:numId w:val="3"/>
        </w:numPr>
        <w:spacing w:after="240" w:before="0" w:beforeAutospacing="0" w:line="240" w:lineRule="auto"/>
        <w:ind w:left="1440" w:hanging="360"/>
      </w:pPr>
      <w:r w:rsidDel="00000000" w:rsidR="00000000" w:rsidRPr="00000000">
        <w:rPr>
          <w:rtl w:val="0"/>
        </w:rPr>
        <w:t xml:space="preserve">Medical studies consistently identify weight gain and obesity as major contributing risk factors associated with the development and worsening of OSA.</w:t>
      </w:r>
    </w:p>
    <w:p w:rsidR="00000000" w:rsidDel="00000000" w:rsidP="00000000" w:rsidRDefault="00000000" w:rsidRPr="00000000" w14:paraId="00000007">
      <w:pPr>
        <w:widowControl w:val="0"/>
        <w:spacing w:after="240" w:before="240" w:line="240" w:lineRule="auto"/>
        <w:rPr/>
      </w:pPr>
      <w:r w:rsidDel="00000000" w:rsidR="00000000" w:rsidRPr="00000000">
        <w:rPr>
          <w:rtl w:val="0"/>
        </w:rPr>
      </w:r>
    </w:p>
    <w:p w:rsidR="00000000" w:rsidDel="00000000" w:rsidP="00000000" w:rsidRDefault="00000000" w:rsidRPr="00000000" w14:paraId="00000008">
      <w:pPr>
        <w:widowControl w:val="0"/>
        <w:spacing w:line="240" w:lineRule="auto"/>
        <w:jc w:val="center"/>
        <w:rPr/>
      </w:pPr>
      <w:r w:rsidDel="00000000" w:rsidR="00000000" w:rsidRPr="00000000">
        <w:rPr>
          <w:b w:val="1"/>
          <w:bCs w:val="1"/>
          <w:sz w:val="26"/>
          <w:szCs w:val="26"/>
          <w:rtl w:val="0"/>
        </w:rPr>
        <w:t xml:space="preserve">Bilateral Lower Extremity Radiculopathy as Secondary to Lumbar Condition</w:t>
      </w:r>
      <w:r w:rsidDel="00000000" w:rsidR="00000000" w:rsidRPr="00000000">
        <w:rPr>
          <w:rtl w:val="0"/>
        </w:rPr>
      </w:r>
    </w:p>
    <w:p w:rsidR="00000000" w:rsidDel="00000000" w:rsidP="00000000" w:rsidRDefault="00000000" w:rsidRPr="00000000" w14:paraId="00000009">
      <w:pPr>
        <w:pStyle w:val="Heading1"/>
        <w:keepNext w:val="0"/>
        <w:keepLines w:val="0"/>
        <w:widowControl w:val="0"/>
        <w:spacing w:before="480" w:line="240" w:lineRule="auto"/>
        <w:rPr>
          <w:b w:val="1"/>
          <w:bCs w:val="1"/>
          <w:sz w:val="22"/>
          <w:szCs w:val="22"/>
        </w:rPr>
      </w:pPr>
      <w:bookmarkStart w:colFirst="0" w:colLast="0" w:name="_9ewr0nbgbg3u" w:id="1"/>
      <w:bookmarkEnd w:id="1"/>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0A">
      <w:pPr>
        <w:widowControl w:val="0"/>
        <w:spacing w:after="240" w:before="240" w:line="240" w:lineRule="auto"/>
        <w:rPr>
          <w:i w:val="1"/>
          <w:iCs w:val="1"/>
        </w:rPr>
      </w:pPr>
      <w:r w:rsidDel="00000000" w:rsidR="00000000" w:rsidRPr="00000000">
        <w:rPr>
          <w:rtl w:val="0"/>
        </w:rPr>
        <w:t xml:space="preserve">Studies examining low back syndromes found that disc degeneration and lumbar spine pathology are strongly associated with sciatica and radiating neurological symptoms affecting the lower extremities. </w:t>
      </w:r>
      <w:r w:rsidDel="00000000" w:rsidR="00000000" w:rsidRPr="00000000">
        <w:rPr>
          <w:i w:val="1"/>
          <w:iCs w:val="1"/>
          <w:rtl w:val="0"/>
        </w:rPr>
        <w:t xml:space="preserve">(See “Risk factors for low back pain and sciatica” [Heliovaara] [</w:t>
      </w:r>
      <w:hyperlink r:id="rId7">
        <w:r w:rsidDel="00000000" w:rsidR="00000000" w:rsidRPr="00000000">
          <w:rPr>
            <w:i w:val="1"/>
            <w:iCs w:val="1"/>
            <w:color w:val="1155cc"/>
            <w:u w:val="single"/>
            <w:rtl w:val="0"/>
          </w:rPr>
          <w:t xml:space="preserve">https://pubmed.ncbi.nlm.nih.gov/2528971/</w:t>
        </w:r>
      </w:hyperlink>
      <w:r w:rsidDel="00000000" w:rsidR="00000000" w:rsidRPr="00000000">
        <w:rPr>
          <w:i w:val="1"/>
          <w:iCs w:val="1"/>
          <w:rtl w:val="0"/>
        </w:rPr>
        <w:t xml:space="preserve">])</w:t>
      </w:r>
    </w:p>
    <w:p w:rsidR="00000000" w:rsidDel="00000000" w:rsidP="00000000" w:rsidRDefault="00000000" w:rsidRPr="00000000" w14:paraId="0000000B">
      <w:pPr>
        <w:widowControl w:val="0"/>
        <w:numPr>
          <w:ilvl w:val="0"/>
          <w:numId w:val="1"/>
        </w:numPr>
        <w:spacing w:after="240" w:before="240" w:line="240" w:lineRule="auto"/>
        <w:ind w:left="720" w:hanging="360"/>
      </w:pPr>
      <w:r w:rsidDel="00000000" w:rsidR="00000000" w:rsidRPr="00000000">
        <w:rPr>
          <w:rtl w:val="0"/>
        </w:rPr>
        <w:t xml:space="preserve">Medical research concluded that physical strain, lifting, and lumbar degeneration are likely to result in low back pain and sciatica, supporting a causal relationship between lumbar spine conditions and lower extremity neurological impairment.</w:t>
      </w:r>
    </w:p>
    <w:p w:rsidR="00000000" w:rsidDel="00000000" w:rsidP="00000000" w:rsidRDefault="00000000" w:rsidRPr="00000000" w14:paraId="0000000C">
      <w:pPr>
        <w:widowControl w:val="0"/>
        <w:spacing w:after="240" w:before="240" w:line="240" w:lineRule="auto"/>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26"/>
          <w:szCs w:val="26"/>
        </w:rPr>
      </w:pPr>
      <w:r w:rsidDel="00000000" w:rsidR="00000000" w:rsidRPr="00000000">
        <w:rPr>
          <w:b w:val="1"/>
          <w:bCs w:val="1"/>
          <w:sz w:val="26"/>
          <w:szCs w:val="26"/>
          <w:rtl w:val="0"/>
        </w:rPr>
        <w:t xml:space="preserve">Erectile Dysfunction as Secondary to Mental Health Condition</w:t>
      </w:r>
    </w:p>
    <w:p w:rsidR="00000000" w:rsidDel="00000000" w:rsidP="00000000" w:rsidRDefault="00000000" w:rsidRPr="00000000" w14:paraId="0000000F">
      <w:pPr>
        <w:widowControl w:val="0"/>
        <w:spacing w:after="240" w:before="240" w:line="240" w:lineRule="auto"/>
        <w:rPr/>
      </w:pPr>
      <w:r w:rsidDel="00000000" w:rsidR="00000000" w:rsidRPr="00000000">
        <w:rPr>
          <w:rtl w:val="0"/>
        </w:rPr>
      </w:r>
    </w:p>
    <w:p w:rsidR="00000000" w:rsidDel="00000000" w:rsidP="00000000" w:rsidRDefault="00000000" w:rsidRPr="00000000" w14:paraId="00000010">
      <w:pPr>
        <w:pStyle w:val="Heading1"/>
        <w:keepNext w:val="0"/>
        <w:keepLines w:val="0"/>
        <w:widowControl w:val="0"/>
        <w:spacing w:before="480" w:line="240" w:lineRule="auto"/>
        <w:rPr>
          <w:b w:val="1"/>
          <w:bCs w:val="1"/>
          <w:sz w:val="22"/>
          <w:szCs w:val="22"/>
        </w:rPr>
      </w:pPr>
      <w:bookmarkStart w:colFirst="0" w:colLast="0" w:name="_q2seouut5zeh" w:id="2"/>
      <w:bookmarkEnd w:id="2"/>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11">
      <w:pPr>
        <w:widowControl w:val="0"/>
        <w:spacing w:after="240" w:before="240" w:line="240" w:lineRule="auto"/>
        <w:rPr>
          <w:i w:val="1"/>
          <w:iCs w:val="1"/>
        </w:rPr>
      </w:pPr>
      <w:r w:rsidDel="00000000" w:rsidR="00000000" w:rsidRPr="00000000">
        <w:rPr>
          <w:rtl w:val="0"/>
        </w:rPr>
        <w:t xml:space="preserve">A systematic review and meta-analysis of 49 eligible publications found that individuals with depression had a significantly increased likelihood of developing erectile dysfunction, with a pooled odds ratio of 1.39, demonstrating a measurable association between psychiatric symptoms and sexual dysfunction. </w:t>
      </w:r>
      <w:r w:rsidDel="00000000" w:rsidR="00000000" w:rsidRPr="00000000">
        <w:rPr>
          <w:i w:val="1"/>
          <w:iCs w:val="1"/>
          <w:rtl w:val="0"/>
        </w:rPr>
        <w:t xml:space="preserve">(See “Erectile Dysfunction and Depression: A Systematic Review and Meta-Analysis” [Liu] [</w:t>
      </w:r>
      <w:hyperlink r:id="rId8">
        <w:r w:rsidDel="00000000" w:rsidR="00000000" w:rsidRPr="00000000">
          <w:rPr>
            <w:i w:val="1"/>
            <w:iCs w:val="1"/>
            <w:color w:val="1155cc"/>
            <w:u w:val="single"/>
            <w:rtl w:val="0"/>
          </w:rPr>
          <w:t xml:space="preserve">https://academic.oup.com/jsm/article/15/8/1073/6980541</w:t>
        </w:r>
      </w:hyperlink>
      <w:r w:rsidDel="00000000" w:rsidR="00000000" w:rsidRPr="00000000">
        <w:rPr>
          <w:i w:val="1"/>
          <w:iCs w:val="1"/>
          <w:rtl w:val="0"/>
        </w:rPr>
        <w:t xml:space="preserve">])</w:t>
      </w:r>
    </w:p>
    <w:p w:rsidR="00000000" w:rsidDel="00000000" w:rsidP="00000000" w:rsidRDefault="00000000" w:rsidRPr="00000000" w14:paraId="00000012">
      <w:pPr>
        <w:widowControl w:val="0"/>
        <w:numPr>
          <w:ilvl w:val="0"/>
          <w:numId w:val="2"/>
        </w:numPr>
        <w:spacing w:after="240" w:before="240" w:line="240" w:lineRule="auto"/>
        <w:ind w:left="720" w:hanging="360"/>
      </w:pPr>
      <w:r w:rsidDel="00000000" w:rsidR="00000000" w:rsidRPr="00000000">
        <w:rPr>
          <w:rtl w:val="0"/>
        </w:rPr>
        <w:t xml:space="preserve">The study further concluded that clinicians should routinely assess erectile dysfunction in patients presenting with depression due to the established medical relationship between the two conditions, reinforcing the medical plausibility of secondary causation and aggravation.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mc.ncbi.nlm.nih.gov/articles/PMC10267346/" TargetMode="External"/><Relationship Id="rId7" Type="http://schemas.openxmlformats.org/officeDocument/2006/relationships/hyperlink" Target="https://pubmed.ncbi.nlm.nih.gov/2528971/" TargetMode="External"/><Relationship Id="rId8" Type="http://schemas.openxmlformats.org/officeDocument/2006/relationships/hyperlink" Target="https://academic.oup.com/jsm/article/15/8/1073/6980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