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40" w:after="240"/>
      </w:pPr>
      <w:r>
        <w:rPr>
          <w:rFonts w:ascii="Aptos" w:hAnsi="Aptos"/>
          <w:b/>
          <w:color w:val="000000"/>
          <w:sz w:val="60"/>
        </w:rPr>
        <w:t>Instrukcja użytkownika</w:t>
      </w:r>
    </w:p>
    <w:p>
      <w:pPr>
        <w:spacing w:after="560"/>
      </w:pPr>
      <w:r>
        <w:rPr>
          <w:rFonts w:ascii="Aptos" w:hAnsi="Aptos"/>
          <w:b/>
          <w:color w:val="17365D"/>
          <w:sz w:val="38"/>
        </w:rPr>
        <w:t>Layout Generator Pro 3D v0.2</w:t>
      </w:r>
    </w:p>
    <w:p>
      <w:pPr>
        <w:spacing w:before="0" w:after="440" w:line="276" w:lineRule="auto"/>
      </w:pPr>
      <w:r>
        <w:rPr>
          <w:rFonts w:ascii="Aptos" w:hAnsi="Aptos"/>
          <w:b w:val="0"/>
          <w:color w:val="333333"/>
          <w:sz w:val="26"/>
        </w:rPr>
        <w:t>Przewodnik krok po kroku od danych popytowych do eksportu layoutu produkcyjnego.</w:t>
      </w:r>
    </w:p>
    <w:p>
      <w:pPr>
        <w:spacing w:before="0" w:after="360" w:line="276" w:lineRule="auto"/>
      </w:pPr>
      <w:r>
        <w:rPr>
          <w:rFonts w:ascii="Aptos" w:hAnsi="Aptos"/>
          <w:b w:val="0"/>
          <w:color w:val="444444"/>
          <w:sz w:val="21"/>
        </w:rPr>
        <w:t>Dla kogo: nowy użytkownik przygotowujący koncepcję linii montażowej. Dokument opisuje aktualną wersję aplikacji i używa nazw widocznych w interfejsie.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Etap</w:t>
            </w:r>
          </w:p>
        </w:tc>
        <w:tc>
          <w:tcPr>
            <w:tcW w:type="dxa" w:w="648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Rezultat</w:t>
            </w:r>
          </w:p>
        </w:tc>
      </w:tr>
      <w:tr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1. Popyt i takt</w:t>
            </w:r>
          </w:p>
        </w:tc>
        <w:tc>
          <w:tcPr>
            <w:tcW w:type="dxa" w:w="64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Wymagane tempo produkcji</w:t>
            </w:r>
          </w:p>
        </w:tc>
      </w:tr>
      <w:tr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2. Proces</w:t>
            </w:r>
          </w:p>
        </w:tc>
        <w:tc>
          <w:tcPr>
            <w:tcW w:type="dxa" w:w="64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Sekwencja operacji i czasy</w:t>
            </w:r>
          </w:p>
        </w:tc>
      </w:tr>
      <w:tr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3. BOM</w:t>
            </w:r>
          </w:p>
        </w:tc>
        <w:tc>
          <w:tcPr>
            <w:tcW w:type="dxa" w:w="64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Materiały przypisane do kroków</w:t>
            </w:r>
          </w:p>
        </w:tc>
      </w:tr>
      <w:tr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4. Yamazumi</w:t>
            </w:r>
          </w:p>
        </w:tc>
        <w:tc>
          <w:tcPr>
            <w:tcW w:type="dxa" w:w="64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Bilans obciążenia stanowisk</w:t>
            </w:r>
          </w:p>
        </w:tc>
      </w:tr>
      <w:tr>
        <w:tc>
          <w:tcPr>
            <w:tcW w:type="dxa" w:w="33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5-6. 3D, 2D i eksport</w:t>
            </w:r>
          </w:p>
        </w:tc>
        <w:tc>
          <w:tcPr>
            <w:tcW w:type="dxa" w:w="64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Wizualizacja, symulacja i pliki wyjściowe</w:t>
            </w:r>
          </w:p>
        </w:tc>
      </w:tr>
    </w:tbl>
    <w:p>
      <w:pPr>
        <w:spacing w:after="20"/>
      </w:pPr>
    </w:p>
    <w:p>
      <w:pPr>
        <w:spacing w:before="0" w:after="0" w:line="276" w:lineRule="auto"/>
      </w:pPr>
      <w:r>
        <w:rPr>
          <w:rFonts w:ascii="Aptos" w:hAnsi="Aptos"/>
          <w:b/>
          <w:color w:val="1F4E78"/>
          <w:sz w:val="20"/>
        </w:rPr>
        <w:t>Ważne: projekt pracuje w pamięci bieżącej sesji. Aby zachować wyniki na później, po zakończeniu pracy użyj eksportu JSON w górnym pasku.</w:t>
      </w:r>
    </w:p>
    <w:p>
      <w:r>
        <w:br w:type="page"/>
      </w: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2"/>
        </w:rPr>
        <w:t>Spis treści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1. Zanim zaczniesz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2. Orientacja w aplikacji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3. Cały proces produkcyjny krok po kroku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4. Import i eksport danych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5. Kontrola jakości przed przekazaniem layoutu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6. Najczęstsze sytuacje i szybkie rozwiązania</w:t>
      </w: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2"/>
        </w:rPr>
        <w:t>1. Zanim zaczniesz</w:t>
      </w:r>
    </w:p>
    <w:p>
      <w:pPr>
        <w:spacing w:before="0" w:after="140" w:line="276" w:lineRule="auto"/>
      </w:pPr>
      <w:r>
        <w:rPr>
          <w:rFonts w:ascii="Aptos" w:hAnsi="Aptos"/>
          <w:b w:val="0"/>
          <w:color w:val="000000"/>
          <w:sz w:val="21"/>
        </w:rPr>
        <w:t>Przygotuj dane wejściowe: planowany popyt, kalendarz pracy, listę operacji z czasami oraz listę komponentów. Możesz zacząć od wbudowanego szablonu Silniki EV lub Baterie EV, a następnie zastąpić dane własnymi.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Przygotuj</w:t>
            </w:r>
          </w:p>
        </w:tc>
        <w:tc>
          <w:tcPr>
            <w:tcW w:type="dxa" w:w="432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Minimalna informacja</w:t>
            </w:r>
          </w:p>
        </w:tc>
        <w:tc>
          <w:tcPr>
            <w:tcW w:type="dxa" w:w="345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Gdzie użyjesz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Popyt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sztuki na rok i dni robocze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Popyt i Takt Time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Organizacja pracy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liczba zmian, godziny, przerwy, OEE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Popyt i Takt Time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ID, nazwa, czas standardowy, poprzedniki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 i Operacje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BOM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część, ilość/szt., koszt, krok procesu, pojemnik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Materiały BOM</w:t>
            </w:r>
          </w:p>
        </w:tc>
      </w:tr>
      <w:tr>
        <w:tc>
          <w:tcPr>
            <w:tcW w:type="dxa" w:w="19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Wymagany wynik</w:t>
            </w:r>
          </w:p>
        </w:tc>
        <w:tc>
          <w:tcPr>
            <w:tcW w:type="dxa" w:w="432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układ U, liniowy lub L</w:t>
            </w:r>
          </w:p>
        </w:tc>
        <w:tc>
          <w:tcPr>
            <w:tcW w:type="dxa" w:w="34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Pasek górny i layout</w:t>
            </w:r>
          </w:p>
        </w:tc>
      </w:tr>
    </w:tbl>
    <w:p>
      <w:pPr>
        <w:spacing w:after="20"/>
      </w:pPr>
    </w:p>
    <w:p>
      <w:pPr>
        <w:spacing w:before="0" w:after="120" w:line="276" w:lineRule="auto"/>
      </w:pPr>
      <w:r>
        <w:rPr>
          <w:rFonts w:ascii="Aptos" w:hAnsi="Aptos"/>
          <w:b w:val="0"/>
          <w:color w:val="444444"/>
          <w:sz w:val="20"/>
        </w:rPr>
        <w:t>Jednostki: czasy operacji podawaj w sekundach, wymiary layoutu i hali są prezentowane w milimetrach, a takt jest wyświetlany w sekundach na sztukę.</w:t>
      </w: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2"/>
        </w:rPr>
        <w:t>2. Orientacja w aplikacji</w:t>
      </w:r>
    </w:p>
    <w:p>
      <w:pPr>
        <w:spacing w:before="0" w:after="140" w:line="276" w:lineRule="auto"/>
      </w:pPr>
      <w:r>
        <w:rPr>
          <w:rFonts w:ascii="Aptos" w:hAnsi="Aptos"/>
          <w:b w:val="0"/>
          <w:color w:val="000000"/>
          <w:sz w:val="21"/>
        </w:rPr>
        <w:t>Na górze znajduje się nazwa projektu, wybór szablonu, typ układu oraz eksporty. Drugi pasek prowadzi przez sześć etapów. Możesz przechodzić między kartami w dowolnym momencie; wartości obliczane są na podstawie aktualnych danych projektu.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 interfejsu</w:t>
            </w:r>
          </w:p>
        </w:tc>
        <w:tc>
          <w:tcPr>
            <w:tcW w:type="dxa" w:w="7344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Do czego służy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Nazwa projektu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Kliknij pole w nagłówku, aby zmienić nazwę. Ta nazwa trafia do eksportowanych plików.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Szablon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Wczytuje przykładowy projekt Silniki EV U Shape albo Baterie EV Linear.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Układ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Wybierz U Shape, Liniowy lub L Shape. Zmiana przebudowuje generowany układ.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JSON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Pobiera kompletny projekt, aby można było go później importować.</w:t>
            </w:r>
          </w:p>
        </w:tc>
      </w:tr>
      <w:tr>
        <w:tc>
          <w:tcPr>
            <w:tcW w:type="dxa" w:w="244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DXF CAD</w:t>
            </w:r>
          </w:p>
        </w:tc>
        <w:tc>
          <w:tcPr>
            <w:tcW w:type="dxa" w:w="73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Pobiera rzut layoutu do programu CAD.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2"/>
        </w:rPr>
        <w:t>3. Cały proces produkcyjny krok po kroku</w:t>
      </w:r>
    </w:p>
    <w:p>
      <w:pPr>
        <w:spacing w:before="0" w:after="160" w:line="276" w:lineRule="auto"/>
      </w:pPr>
      <w:r>
        <w:rPr>
          <w:rFonts w:ascii="Aptos" w:hAnsi="Aptos"/>
          <w:b w:val="0"/>
          <w:color w:val="000000"/>
          <w:sz w:val="21"/>
        </w:rPr>
        <w:t>Poniższa kolejność jest zalecanym tokiem pracy. Pozwala uzyskać wynik od zapotrzebowania klienta aż po plik CAD. Nie pomijaj kontroli bilansu, ponieważ to ona ujawnia wąskie gardła.</w:t>
      </w:r>
    </w:p>
    <w:p>
      <w:pPr>
        <w:pStyle w:val="Heading2"/>
        <w:spacing w:before="160" w:after="120"/>
      </w:pPr>
      <w:r>
        <w:rPr>
          <w:rFonts w:ascii="Aptos" w:hAnsi="Aptos"/>
          <w:b/>
          <w:color w:val="000000"/>
          <w:sz w:val="25"/>
        </w:rPr>
        <w:t>Krok 0  Utwórz lub wybierz projekt</w:t>
      </w:r>
    </w:p>
    <w:p>
      <w:pPr>
        <w:spacing w:before="160" w:after="80"/>
      </w:pPr>
      <w:r>
        <w:rPr>
          <w:rFonts w:ascii="Aptos" w:hAnsi="Aptos"/>
          <w:b/>
          <w:color w:val="17365D"/>
          <w:sz w:val="23"/>
        </w:rPr>
        <w:t>1. Otwórz Pulpit Główny.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Na ekranie startowym wybierz Nowy projekt, aby zacząć bez danych, albo wybierz jeden z dwóch szablonów w górnym pasku.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Jeśli kontynuujesz pracę, użyj Importuj JSON i wskaż wcześniej wyeksportowany plik projektu.</w:t>
      </w:r>
    </w:p>
    <w:p>
      <w:pPr>
        <w:spacing w:before="160" w:after="80"/>
      </w:pPr>
      <w:r>
        <w:rPr>
          <w:rFonts w:ascii="Aptos" w:hAnsi="Aptos"/>
          <w:b/>
          <w:color w:val="17365D"/>
          <w:sz w:val="23"/>
        </w:rPr>
        <w:t>2. Nadaj nazwę i wybierz typ układu.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W polu z nazwą projektu wpisz czytelną nazwę, np. „Linia montażu modułu X”.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W sekcji Układ wybierz U Shape, Liniowy albo L Shape. Wybór zmienia rozmieszczenie automatycznie generowanych obiektów.</w:t>
      </w:r>
    </w:p>
    <w:p>
      <w:pPr>
        <w:spacing w:after="120"/>
      </w:pPr>
      <w:r>
        <w:rPr>
          <w:rFonts w:ascii="Aptos" w:hAnsi="Aptos"/>
          <w:b/>
          <w:color w:val="1F4E78"/>
          <w:sz w:val="20"/>
        </w:rPr>
        <w:t xml:space="preserve">Sprawdź: </w:t>
      </w:r>
      <w:r>
        <w:rPr>
          <w:rFonts w:ascii="Aptos" w:hAnsi="Aptos"/>
          <w:b w:val="0"/>
          <w:color w:val="000000"/>
          <w:sz w:val="20"/>
        </w:rPr>
        <w:t>Nazwa jest poprawna, a układ odpowiada planowanemu przepływowi materiału.</w:t>
      </w:r>
    </w:p>
    <w:p>
      <w:pPr>
        <w:pStyle w:val="Heading2"/>
        <w:spacing w:before="160" w:after="120"/>
      </w:pPr>
      <w:r>
        <w:rPr>
          <w:rFonts w:ascii="Aptos" w:hAnsi="Aptos"/>
          <w:b/>
          <w:color w:val="000000"/>
          <w:sz w:val="25"/>
        </w:rPr>
        <w:t>Krok 1  Ustal popyt oraz takt time</w:t>
      </w:r>
    </w:p>
    <w:p>
      <w:pPr>
        <w:spacing w:before="160" w:after="80"/>
      </w:pPr>
      <w:r>
        <w:rPr>
          <w:rFonts w:ascii="Aptos" w:hAnsi="Aptos"/>
          <w:b/>
          <w:color w:val="17365D"/>
          <w:sz w:val="23"/>
        </w:rPr>
        <w:t>1. Przejdź do karty 1. Popyt i Takt Time.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W sekcji Popyt Klienta wpisz popyt roczny oraz liczbę dni roboczych w roku.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Sprawdź automatycznie obliczane wartości średniego popytu miesięcznego i dziennego.</w:t>
      </w:r>
    </w:p>
    <w:p>
      <w:pPr>
        <w:spacing w:before="160" w:after="80"/>
      </w:pPr>
      <w:r>
        <w:rPr>
          <w:rFonts w:ascii="Aptos" w:hAnsi="Aptos"/>
          <w:b/>
          <w:color w:val="17365D"/>
          <w:sz w:val="23"/>
        </w:rPr>
        <w:t>2. Ustal czas dostępny do produkcji.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W sekcji Organizacja Pracy i Efektywność wybierz liczbę zmian.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Uzupełnij godziny na zmianę i planowane przerwy na zmianę.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Ustaw OEE suwakiem. Jest to założona dostępność/efektywność, więc użyj wartości zaakceptowanej przez zespół produkcyjny.</w:t>
      </w:r>
    </w:p>
    <w:p>
      <w:pPr>
        <w:spacing w:before="160" w:after="80"/>
      </w:pPr>
      <w:r>
        <w:rPr>
          <w:rFonts w:ascii="Aptos" w:hAnsi="Aptos"/>
          <w:b/>
          <w:color w:val="17365D"/>
          <w:sz w:val="23"/>
        </w:rPr>
        <w:t>3. Odczytaj wynik.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Po prawej stronie znajdziesz Wymagany Czas Taktu oraz wymagane tempo na godzinę i minutę.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Jeżeli czas pojedynczej operacji jest większy od taktu, traktuj ją jako potencjalne wąskie gardło do podziału lub usprawnienia.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Kliknij Krok 2 Proces Technologiczny.</w:t>
      </w:r>
    </w:p>
    <w:p>
      <w:pPr>
        <w:spacing w:after="120"/>
      </w:pPr>
      <w:r>
        <w:rPr>
          <w:rFonts w:ascii="Aptos" w:hAnsi="Aptos"/>
          <w:b/>
          <w:color w:val="1F4E78"/>
          <w:sz w:val="20"/>
        </w:rPr>
        <w:t xml:space="preserve">Sprawdź: </w:t>
      </w:r>
      <w:r>
        <w:rPr>
          <w:rFonts w:ascii="Aptos" w:hAnsi="Aptos"/>
          <w:b w:val="0"/>
          <w:color w:val="000000"/>
          <w:sz w:val="20"/>
        </w:rPr>
        <w:t>Takt jest realistyczny i zapisany jako kryterium dla późniejszego bilansowania.</w:t>
      </w:r>
    </w:p>
    <w:p>
      <w:pPr>
        <w:pStyle w:val="Heading2"/>
        <w:spacing w:before="160" w:after="120"/>
      </w:pPr>
      <w:r>
        <w:rPr>
          <w:rFonts w:ascii="Aptos" w:hAnsi="Aptos"/>
          <w:b/>
          <w:color w:val="000000"/>
          <w:sz w:val="25"/>
        </w:rPr>
        <w:t>Krok 2  Zbuduj proces technologiczny</w:t>
      </w:r>
    </w:p>
    <w:p>
      <w:pPr>
        <w:spacing w:before="160" w:after="80"/>
      </w:pPr>
      <w:r>
        <w:rPr>
          <w:rFonts w:ascii="Aptos" w:hAnsi="Aptos"/>
          <w:b/>
          <w:color w:val="17365D"/>
          <w:sz w:val="23"/>
        </w:rPr>
        <w:t>1. Wybierz sposób wprowadzenia procesu.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Do danych z pliku użyj Import Excel/CSV. Aplikacja przyjmuje plik XLSX lub CSV; przed importem przygotuj spójne ID kroków.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Aby utworzyć proces ręcznie, użyj formularza Dodaj krok procesu.</w:t>
      </w:r>
    </w:p>
    <w:p>
      <w:pPr>
        <w:spacing w:before="160" w:after="80"/>
      </w:pPr>
      <w:r>
        <w:rPr>
          <w:rFonts w:ascii="Aptos" w:hAnsi="Aptos"/>
          <w:b/>
          <w:color w:val="17365D"/>
          <w:sz w:val="23"/>
        </w:rPr>
        <w:t>2. Dodaj lub popraw operacje.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Dla każdej operacji podaj ID, nazwę i czas standardowy w sekundach. ID musi być unikalne.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W polu poprzedników wpisuj ID operacji rozdzielone przecinkami, gdy krok zależy od kilku wcześniejszych kroków.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Po dodaniu sprawdź układ w widoku diagramu; do szybkiej korekty wielu wierszy przełącz widok tabeli.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Zmiana czasu standardowego aktualizuje czasy VA i NVA według ustawionej w aplikacji proporcji.</w:t>
      </w:r>
    </w:p>
    <w:p>
      <w:pPr>
        <w:spacing w:before="160" w:after="80"/>
      </w:pPr>
      <w:r>
        <w:rPr>
          <w:rFonts w:ascii="Aptos" w:hAnsi="Aptos"/>
          <w:b/>
          <w:color w:val="17365D"/>
          <w:sz w:val="23"/>
        </w:rPr>
        <w:t>3. Sprawdź sumę i kolejność.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Zweryfikuj, czy wszystkie kroki są obecne, czas całkowity jest wiarygodny, a zależności nie zawierają błędnych ID.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Użyj Eksport Excel, jeżeli chcesz skonsultować listę operacji poza aplikacją.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Przejdź przyciskiem Krok 3 Materiały BOM.</w:t>
      </w:r>
    </w:p>
    <w:p>
      <w:pPr>
        <w:spacing w:after="120"/>
      </w:pPr>
      <w:r>
        <w:rPr>
          <w:rFonts w:ascii="Aptos" w:hAnsi="Aptos"/>
          <w:b/>
          <w:color w:val="1F4E78"/>
          <w:sz w:val="20"/>
        </w:rPr>
        <w:t xml:space="preserve">Sprawdź: </w:t>
      </w:r>
      <w:r>
        <w:rPr>
          <w:rFonts w:ascii="Aptos" w:hAnsi="Aptos"/>
          <w:b w:val="0"/>
          <w:color w:val="000000"/>
          <w:sz w:val="20"/>
        </w:rPr>
        <w:t>Diagram nie ma „osieroconych” operacji, a czasy są w sekundach.</w:t>
      </w:r>
    </w:p>
    <w:p>
      <w:r>
        <w:br w:type="page"/>
      </w:r>
    </w:p>
    <w:p>
      <w:pPr>
        <w:pStyle w:val="Heading2"/>
        <w:spacing w:before="160" w:after="120"/>
      </w:pPr>
      <w:r>
        <w:rPr>
          <w:rFonts w:ascii="Aptos" w:hAnsi="Aptos"/>
          <w:b/>
          <w:color w:val="000000"/>
          <w:sz w:val="25"/>
        </w:rPr>
        <w:t>Krok 3  Przypisz materiały BOM</w:t>
      </w:r>
    </w:p>
    <w:p>
      <w:pPr>
        <w:spacing w:before="160" w:after="80"/>
      </w:pPr>
      <w:r>
        <w:rPr>
          <w:rFonts w:ascii="Aptos" w:hAnsi="Aptos"/>
          <w:b/>
          <w:color w:val="17365D"/>
          <w:sz w:val="23"/>
        </w:rPr>
        <w:t>1. Wczytaj lub dodaj listę materiałową.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Jeśli BOM istnieje w arkuszu, wybierz Import Excel/CSV.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W przeciwnym razie w formularzu Dodaj nowy komponent materiałowy uzupełnij dane komponentu i kliknij Dodaj.</w:t>
      </w:r>
    </w:p>
    <w:p>
      <w:pPr>
        <w:spacing w:before="160" w:after="80"/>
      </w:pPr>
      <w:r>
        <w:rPr>
          <w:rFonts w:ascii="Aptos" w:hAnsi="Aptos"/>
          <w:b/>
          <w:color w:val="17365D"/>
          <w:sz w:val="23"/>
        </w:rPr>
        <w:t>2. Uzupełnij informacje logistyczne.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Dla każdej pozycji wpisz nazwę lub numer części, ilość na wyrób oraz koszt jednostkowy.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Przypisz ID kroku operacji, w którym materiał jest zużywany. To powiązanie musi odpowiadać ID istniejącemu w procesie.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Wybierz typ pojemnika KLT zgodny z rzeczywistym sposobem dostarczania materiału.</w:t>
      </w:r>
    </w:p>
    <w:p>
      <w:pPr>
        <w:spacing w:before="160" w:after="80"/>
      </w:pPr>
      <w:r>
        <w:rPr>
          <w:rFonts w:ascii="Aptos" w:hAnsi="Aptos"/>
          <w:b/>
          <w:color w:val="17365D"/>
          <w:sz w:val="23"/>
        </w:rPr>
        <w:t>3. Zweryfikuj BOM.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Porównaj liczbę pozycji i koszt/sztukę widoczny w podsumowaniu z zatwierdzoną listą materiałową.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Użyj Eksport Excel, aby zapisać zestawienie do weryfikacji.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Przejdź przyciskiem Krok 4 Balans Linii Yamazumi.</w:t>
      </w:r>
    </w:p>
    <w:p>
      <w:pPr>
        <w:spacing w:after="120"/>
      </w:pPr>
      <w:r>
        <w:rPr>
          <w:rFonts w:ascii="Aptos" w:hAnsi="Aptos"/>
          <w:b/>
          <w:color w:val="1F4E78"/>
          <w:sz w:val="20"/>
        </w:rPr>
        <w:t xml:space="preserve">Sprawdź: </w:t>
      </w:r>
      <w:r>
        <w:rPr>
          <w:rFonts w:ascii="Aptos" w:hAnsi="Aptos"/>
          <w:b w:val="0"/>
          <w:color w:val="000000"/>
          <w:sz w:val="20"/>
        </w:rPr>
        <w:t>Każdy materiał ma przypisanie do prawidłowej operacji.</w:t>
      </w:r>
    </w:p>
    <w:p>
      <w:pPr>
        <w:pStyle w:val="Heading2"/>
        <w:spacing w:before="160" w:after="120"/>
      </w:pPr>
      <w:r>
        <w:rPr>
          <w:rFonts w:ascii="Aptos" w:hAnsi="Aptos"/>
          <w:b/>
          <w:color w:val="000000"/>
          <w:sz w:val="25"/>
        </w:rPr>
        <w:t>Krok 4  Oceń balans Yamazumi</w:t>
      </w:r>
    </w:p>
    <w:p>
      <w:pPr>
        <w:spacing w:before="160" w:after="80"/>
      </w:pPr>
      <w:r>
        <w:rPr>
          <w:rFonts w:ascii="Aptos" w:hAnsi="Aptos"/>
          <w:b/>
          <w:color w:val="17365D"/>
          <w:sz w:val="23"/>
        </w:rPr>
        <w:t>1. Przejrzyj wykres obciążenia stacji.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Karta 4 pokazuje czas pracy przypisany do stanowisk i linię odniesienia czasu taktu.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Porównaj wysokość każdego słupka z taktem. Stanowisko ponad limitem wymaga korekty procesu.</w:t>
      </w:r>
    </w:p>
    <w:p>
      <w:pPr>
        <w:spacing w:before="160" w:after="80"/>
      </w:pPr>
      <w:r>
        <w:rPr>
          <w:rFonts w:ascii="Aptos" w:hAnsi="Aptos"/>
          <w:b/>
          <w:color w:val="17365D"/>
          <w:sz w:val="23"/>
        </w:rPr>
        <w:t>2. Dobierz metodę bilansowania.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Wybierz metodę RPW lub LCR w sekcji sterowania, aby porównać automatyczne przypisanie operacji do stanowisk.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Zanotuj liczbę stanowisk, ich obciążenie oraz wszelkie przekroczenia.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Kliknij Przejdź do Hali 3D i Symulacji, gdy bilans jest akceptowalny.</w:t>
      </w:r>
    </w:p>
    <w:p>
      <w:pPr>
        <w:spacing w:after="120"/>
      </w:pPr>
      <w:r>
        <w:rPr>
          <w:rFonts w:ascii="Aptos" w:hAnsi="Aptos"/>
          <w:b/>
          <w:color w:val="1F4E78"/>
          <w:sz w:val="20"/>
        </w:rPr>
        <w:t xml:space="preserve">Sprawdź: </w:t>
      </w:r>
      <w:r>
        <w:rPr>
          <w:rFonts w:ascii="Aptos" w:hAnsi="Aptos"/>
          <w:b w:val="0"/>
          <w:color w:val="000000"/>
          <w:sz w:val="20"/>
        </w:rPr>
        <w:t>Żadna krytyczna stacja nie przekracza taktu, albo odstępstwo jest opisane i zaakceptowane.</w:t>
      </w:r>
    </w:p>
    <w:p>
      <w:pPr>
        <w:pStyle w:val="Heading2"/>
        <w:spacing w:before="160" w:after="120"/>
      </w:pPr>
      <w:r>
        <w:rPr>
          <w:rFonts w:ascii="Aptos" w:hAnsi="Aptos"/>
          <w:b/>
          <w:color w:val="000000"/>
          <w:sz w:val="25"/>
        </w:rPr>
        <w:t>Krok 5  Zweryfikuj layout i symulację 3D</w:t>
      </w:r>
    </w:p>
    <w:p>
      <w:pPr>
        <w:spacing w:before="160" w:after="80"/>
      </w:pPr>
      <w:r>
        <w:rPr>
          <w:rFonts w:ascii="Aptos" w:hAnsi="Aptos"/>
          <w:b/>
          <w:color w:val="17365D"/>
          <w:sz w:val="23"/>
        </w:rPr>
        <w:t>1. Oceń widok hali.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Otwórz kartę 5. Hala 3D i Symulacja. Automatycznie wygenerowany layout odpowiada wybranemu typowi układu i aktualnym stanowiskom.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Steruj widokiem: lewy przycisk myszy obraca, kółko przybliża/oddala, prawy przycisk przesuwa widok.</w:t>
      </w:r>
    </w:p>
    <w:p>
      <w:pPr>
        <w:spacing w:before="160" w:after="80"/>
      </w:pPr>
      <w:r>
        <w:rPr>
          <w:rFonts w:ascii="Aptos" w:hAnsi="Aptos"/>
          <w:b/>
          <w:color w:val="17365D"/>
          <w:sz w:val="23"/>
        </w:rPr>
        <w:t>2. Przeprowadź krótką symulację.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Ustaw Cel Partii albo przełącz na tryb Ciągła.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Wybierz prędkość 1x, 2x, 5x lub 10x i kliknij Start Symulacji.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Obserwuj stoper partii, liczbę wyprodukowanych sztuk, WIP i wydajność. Użyj Pauza albo Reset, gdy potrzebujesz powtórzenia.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Włącz Spaghetti, aby wizualnie ocenić przebieg przepływu.</w:t>
      </w:r>
    </w:p>
    <w:p>
      <w:pPr>
        <w:spacing w:before="160" w:after="80"/>
      </w:pPr>
      <w:r>
        <w:rPr>
          <w:rFonts w:ascii="Aptos" w:hAnsi="Aptos"/>
          <w:b/>
          <w:color w:val="17365D"/>
          <w:sz w:val="23"/>
        </w:rPr>
        <w:t>3. Zapisz wnioski.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Sprawdź, czy przewidywany przepływ nie tworzy nieakceptowalnego WIP lub niepotrzebnych ruchów.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Jeżeli wynik budzi wątpliwość, wróć do procesu, BOM lub wyboru układu i wykonaj kontrolę ponownie.</w:t>
      </w:r>
    </w:p>
    <w:p>
      <w:pPr>
        <w:spacing w:after="120"/>
      </w:pPr>
      <w:r>
        <w:rPr>
          <w:rFonts w:ascii="Aptos" w:hAnsi="Aptos"/>
          <w:b/>
          <w:color w:val="1F4E78"/>
          <w:sz w:val="20"/>
        </w:rPr>
        <w:t xml:space="preserve">Sprawdź: </w:t>
      </w:r>
      <w:r>
        <w:rPr>
          <w:rFonts w:ascii="Aptos" w:hAnsi="Aptos"/>
          <w:b w:val="0"/>
          <w:color w:val="000000"/>
          <w:sz w:val="20"/>
        </w:rPr>
        <w:t>Przebieg partii i przepływ materiału są zaakceptowane przez osobę odpowiedzialną za proces.</w:t>
      </w:r>
    </w:p>
    <w:p>
      <w:pPr>
        <w:pStyle w:val="Heading2"/>
        <w:spacing w:before="160" w:after="120"/>
      </w:pPr>
      <w:r>
        <w:rPr>
          <w:rFonts w:ascii="Aptos" w:hAnsi="Aptos"/>
          <w:b/>
          <w:color w:val="000000"/>
          <w:sz w:val="25"/>
        </w:rPr>
        <w:t>Krok 6  Sprawdź rzut 2D i przygotuj eksport</w:t>
      </w:r>
    </w:p>
    <w:p>
      <w:pPr>
        <w:spacing w:before="160" w:after="80"/>
      </w:pPr>
      <w:r>
        <w:rPr>
          <w:rFonts w:ascii="Aptos" w:hAnsi="Aptos"/>
          <w:b/>
          <w:color w:val="17365D"/>
          <w:sz w:val="23"/>
        </w:rPr>
        <w:t>1. Otwórz kartę 6. Rzut 2D CAD.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Sprawdź obrys hali, pozycje obiektów, ich nazwy i wymiary.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Użyj przybliżenia, oddalenia i resetu widoku. Przeciągnij myszą po rzucie, aby przesuwać widok.</w:t>
      </w:r>
    </w:p>
    <w:p>
      <w:pPr>
        <w:spacing w:before="160" w:after="80"/>
      </w:pPr>
      <w:r>
        <w:rPr>
          <w:rFonts w:ascii="Aptos" w:hAnsi="Aptos"/>
          <w:b/>
          <w:color w:val="17365D"/>
          <w:sz w:val="23"/>
        </w:rPr>
        <w:t>2. Wykonaj eksport.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Kliknij Eksportuj DXF CAD na karcie 2D albo przycisk DXF CAD w nagłówku, aby pobrać plik dla CAD.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Kliknij JSON w górnym pasku, aby zapisać pełny projekt do późniejszego wznowienia pracy.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Nazwy plików są tworzone z nazwy projektu, dlatego warto ją sprawdzić przed pobraniem.</w:t>
      </w:r>
    </w:p>
    <w:p>
      <w:pPr>
        <w:spacing w:after="120"/>
      </w:pPr>
      <w:r>
        <w:rPr>
          <w:rFonts w:ascii="Aptos" w:hAnsi="Aptos"/>
          <w:b/>
          <w:color w:val="1F4E78"/>
          <w:sz w:val="20"/>
        </w:rPr>
        <w:t xml:space="preserve">Sprawdź: </w:t>
      </w:r>
      <w:r>
        <w:rPr>
          <w:rFonts w:ascii="Aptos" w:hAnsi="Aptos"/>
          <w:b w:val="0"/>
          <w:color w:val="000000"/>
          <w:sz w:val="20"/>
        </w:rPr>
        <w:t>Masz zarówno plik JSON do archiwum, jak i plik DXF do dalszego opracowania CAD.</w:t>
      </w:r>
    </w:p>
    <w:p>
      <w:r>
        <w:br w:type="page"/>
      </w: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2"/>
        </w:rPr>
        <w:t>4. Import i eksport danych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Operacja</w:t>
            </w:r>
          </w:p>
        </w:tc>
        <w:tc>
          <w:tcPr>
            <w:tcW w:type="dxa" w:w="36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Kiedy użyć</w:t>
            </w:r>
          </w:p>
        </w:tc>
        <w:tc>
          <w:tcPr>
            <w:tcW w:type="dxa" w:w="3672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Wynik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Import JSON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Wznawiasz cały projekt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Odtworzony projekt z popytem, procesem, BOM i layoutem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Import Excel/CSV procesu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Masz listę operacji poza aplikacją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Zastępuje bieżącą listę kroków procesu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Import Excel/CSV BOM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Masz zestawienie materiałowe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Zastępuje bieżący BOM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Eksport Excel procesu/BOM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Chcesz uzgodnić dane w arkuszu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Plik XLSX odpowiedniego zestawienia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Eksport JSON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Archiwizujesz lub przekazujesz projekt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Kompletny plik projektu</w:t>
            </w:r>
          </w:p>
        </w:tc>
      </w:tr>
      <w:tr>
        <w:tc>
          <w:tcPr>
            <w:tcW w:type="dxa" w:w="288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Eksport DXF CAD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Przekazujesz layout do CAD</w:t>
            </w:r>
          </w:p>
        </w:tc>
        <w:tc>
          <w:tcPr>
            <w:tcW w:type="dxa" w:w="367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Rzut 2D w formacie DXF</w:t>
            </w:r>
          </w:p>
        </w:tc>
      </w:tr>
    </w:tbl>
    <w:p>
      <w:pPr>
        <w:spacing w:after="20"/>
      </w:pPr>
    </w:p>
    <w:p>
      <w:pPr>
        <w:spacing w:before="0" w:after="120" w:line="276" w:lineRule="auto"/>
      </w:pPr>
      <w:r>
        <w:rPr>
          <w:rFonts w:ascii="Aptos" w:hAnsi="Aptos"/>
          <w:b/>
          <w:color w:val="1F4E78"/>
          <w:sz w:val="20"/>
        </w:rPr>
        <w:t>Dobra praktyka: najpierw eksportuj JSON jako kopię bezpieczeństwa, następnie pobierz DXF. Po imporcie zawsze porównaj liczbę operacji i pozycji BOM z plikiem źródłowym.</w:t>
      </w: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2"/>
        </w:rPr>
        <w:t>5. Kontrola jakości przed przekazaniem layoutu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□ Popyt, liczba dni roboczych, zmiany, przerwy i OEE są zgodne z uzgodnionym planem.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□ Każda operacja ma unikalne ID, czas w sekundach i poprawnych poprzedników.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□ Żadna niezatwierdzona stacja nie przekracza czasu taktu.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□ Każda pozycja BOM jest przypisana do właściwego kroku procesu.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□ W symulacji sprawdzono WIP i przepływ Spaghetti dla reprezentatywnej partii.</w:t>
      </w:r>
    </w:p>
    <w:p>
      <w:pPr>
        <w:pStyle w:val="ListBullet"/>
        <w:spacing w:after="60" w:line="264" w:lineRule="auto"/>
      </w:pPr>
      <w:r>
        <w:rPr>
          <w:rFonts w:ascii="Aptos" w:hAnsi="Aptos"/>
          <w:b w:val="0"/>
          <w:color w:val="000000"/>
          <w:sz w:val="20"/>
        </w:rPr>
        <w:t>□ Rzut 2D jest czytelny, a DXF oraz JSON zostały pobrane i otwierają się poprawnie.</w:t>
      </w: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2"/>
        </w:rPr>
        <w:t>6. Najczęstsze sytuacje i szybkie rozwiązania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96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Sytuacja</w:t>
            </w:r>
          </w:p>
        </w:tc>
        <w:tc>
          <w:tcPr>
            <w:tcW w:type="dxa" w:w="7128"/>
            <w:shd w:fill="1F4E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 zrobić</w:t>
            </w:r>
          </w:p>
        </w:tc>
      </w:tr>
      <w:tr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Nie widzę danych po rozpoczęciu od zera.</w:t>
            </w:r>
          </w:p>
        </w:tc>
        <w:tc>
          <w:tcPr>
            <w:tcW w:type="dxa" w:w="71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Najpierw wprowadź popyt, następnie dodaj lub zaimportuj kroki procesu; wyniki 3D i 2D zależą od tych danych.</w:t>
            </w:r>
          </w:p>
        </w:tc>
      </w:tr>
      <w:tr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Operacja nie chce się dodać.</w:t>
            </w:r>
          </w:p>
        </w:tc>
        <w:tc>
          <w:tcPr>
            <w:tcW w:type="dxa" w:w="71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Sprawdź nazwę oraz unikalność ID. ID jest wymagane pośrednio dla zależności i BOM.</w:t>
            </w:r>
          </w:p>
        </w:tc>
      </w:tr>
      <w:tr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Wykres pokazuje problem ze stacją.</w:t>
            </w:r>
          </w:p>
        </w:tc>
        <w:tc>
          <w:tcPr>
            <w:tcW w:type="dxa" w:w="71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Porównaj czas jej operacji z taktem, podziel pracę albo przeanalizuj kolejność i powiązania.</w:t>
            </w:r>
          </w:p>
        </w:tc>
      </w:tr>
      <w:tr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Chcę wrócić do poprzedniego projektu.</w:t>
            </w:r>
          </w:p>
        </w:tc>
        <w:tc>
          <w:tcPr>
            <w:tcW w:type="dxa" w:w="71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Zaimportuj jego plik JSON. Bieżący projekt wyeksportuj wcześniej do JSON.</w:t>
            </w:r>
          </w:p>
        </w:tc>
      </w:tr>
      <w:tr>
        <w:tc>
          <w:tcPr>
            <w:tcW w:type="dxa" w:w="309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DXF nie odzwierciedla oczekiwań.</w:t>
            </w:r>
          </w:p>
        </w:tc>
        <w:tc>
          <w:tcPr>
            <w:tcW w:type="dxa" w:w="71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000000"/>
                <w:sz w:val="18"/>
              </w:rPr>
              <w:t>Sprawdź typ układu, proces i rzut 2D przed ponownym eksportem.</w:t>
            </w:r>
          </w:p>
        </w:tc>
      </w:tr>
    </w:tbl>
    <w:p>
      <w:pPr>
        <w:spacing w:after="20"/>
      </w:pPr>
    </w:p>
    <w:p>
      <w:pPr>
        <w:spacing w:before="360" w:after="0" w:line="276" w:lineRule="auto"/>
      </w:pPr>
      <w:r>
        <w:rPr>
          <w:rFonts w:ascii="Aptos" w:hAnsi="Aptos"/>
          <w:b w:val="0"/>
          <w:color w:val="666666"/>
          <w:sz w:val="19"/>
        </w:rPr>
        <w:t>Koniec instrukcji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 xml:space="preserve">Layout Generator Pro 3D v0.2  |  Instrukcja użytkownika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