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87C64" w14:textId="1BE7B6C2" w:rsidR="0025266F" w:rsidRDefault="005D6FFF">
      <w:r>
        <w:rPr>
          <w:rFonts w:asciiTheme="majorHAnsi" w:eastAsiaTheme="majorEastAsia" w:hAnsiTheme="majorHAnsi" w:cstheme="majorBidi"/>
          <w:b/>
          <w:bCs/>
          <w:caps/>
          <w:noProof/>
          <w:spacing w:val="4"/>
          <w:sz w:val="28"/>
          <w:szCs w:val="28"/>
        </w:rPr>
        <w:drawing>
          <wp:anchor distT="0" distB="0" distL="114300" distR="114300" simplePos="0" relativeHeight="251658240" behindDoc="0" locked="0" layoutInCell="1" allowOverlap="1" wp14:anchorId="411E7341" wp14:editId="4B0AF6A8">
            <wp:simplePos x="0" y="0"/>
            <wp:positionH relativeFrom="page">
              <wp:align>left</wp:align>
            </wp:positionH>
            <wp:positionV relativeFrom="paragraph">
              <wp:posOffset>-912647</wp:posOffset>
            </wp:positionV>
            <wp:extent cx="7573617" cy="10712750"/>
            <wp:effectExtent l="0" t="0" r="8890" b="0"/>
            <wp:wrapNone/>
            <wp:docPr id="432270234" name="Picture 1" descr="A cover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70234" name="Picture 1" descr="A cover of a book&#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7584654" cy="10728361"/>
                    </a:xfrm>
                    <a:prstGeom prst="rect">
                      <a:avLst/>
                    </a:prstGeom>
                  </pic:spPr>
                </pic:pic>
              </a:graphicData>
            </a:graphic>
            <wp14:sizeRelH relativeFrom="margin">
              <wp14:pctWidth>0</wp14:pctWidth>
            </wp14:sizeRelH>
            <wp14:sizeRelV relativeFrom="margin">
              <wp14:pctHeight>0</wp14:pctHeight>
            </wp14:sizeRelV>
          </wp:anchor>
        </w:drawing>
      </w:r>
    </w:p>
    <w:p w14:paraId="6E4F219A" w14:textId="77777777" w:rsidR="00494B4A" w:rsidRDefault="00494B4A"/>
    <w:p w14:paraId="1F3D2C83" w14:textId="48631349" w:rsidR="007B7ED5" w:rsidRDefault="007B7ED5">
      <w:pPr>
        <w:rPr>
          <w:rFonts w:asciiTheme="majorHAnsi" w:eastAsiaTheme="majorEastAsia" w:hAnsiTheme="majorHAnsi" w:cstheme="majorBidi"/>
          <w:b/>
          <w:bCs/>
          <w:caps/>
          <w:spacing w:val="4"/>
          <w:sz w:val="28"/>
          <w:szCs w:val="28"/>
          <w:highlight w:val="lightGray"/>
        </w:rPr>
      </w:pPr>
      <w:r>
        <w:rPr>
          <w:highlight w:val="lightGray"/>
        </w:rPr>
        <w:br w:type="page"/>
      </w:r>
    </w:p>
    <w:p w14:paraId="02F747AD" w14:textId="77777777" w:rsidR="00B73993" w:rsidRDefault="00B73993" w:rsidP="00B73993">
      <w:pPr>
        <w:pStyle w:val="Heading1"/>
      </w:pPr>
    </w:p>
    <w:sdt>
      <w:sdtPr>
        <w:rPr>
          <w:rFonts w:asciiTheme="minorHAnsi" w:eastAsiaTheme="minorEastAsia" w:hAnsiTheme="minorHAnsi" w:cstheme="minorBidi"/>
          <w:b w:val="0"/>
          <w:bCs w:val="0"/>
          <w:caps w:val="0"/>
          <w:spacing w:val="0"/>
          <w:sz w:val="22"/>
          <w:szCs w:val="22"/>
        </w:rPr>
        <w:id w:val="-1954077482"/>
        <w:docPartObj>
          <w:docPartGallery w:val="Table of Contents"/>
          <w:docPartUnique/>
        </w:docPartObj>
      </w:sdtPr>
      <w:sdtEndPr>
        <w:rPr>
          <w:rFonts w:ascii="Times New Roman" w:hAnsi="Times New Roman"/>
          <w:noProof/>
        </w:rPr>
      </w:sdtEndPr>
      <w:sdtContent>
        <w:p w14:paraId="769C40A5" w14:textId="56C10406" w:rsidR="00932B56" w:rsidRDefault="00932B56">
          <w:pPr>
            <w:pStyle w:val="TOCHeading"/>
          </w:pPr>
          <w:r>
            <w:t>Table of Contents</w:t>
          </w:r>
        </w:p>
        <w:p w14:paraId="560696AE" w14:textId="12F05DEF" w:rsidR="00BE42B0" w:rsidRDefault="00932B56">
          <w:pPr>
            <w:pStyle w:val="TOC1"/>
            <w:tabs>
              <w:tab w:val="right" w:leader="dot" w:pos="9016"/>
            </w:tabs>
            <w:rPr>
              <w:noProof/>
              <w:kern w:val="2"/>
              <w:sz w:val="24"/>
              <w:szCs w:val="24"/>
              <w:lang w:eastAsia="en-AU"/>
              <w14:ligatures w14:val="standardContextual"/>
            </w:rPr>
          </w:pPr>
          <w:r>
            <w:fldChar w:fldCharType="begin"/>
          </w:r>
          <w:r>
            <w:instrText xml:space="preserve"> TOC \o "1-3" \h \z \u </w:instrText>
          </w:r>
          <w:r>
            <w:fldChar w:fldCharType="separate"/>
          </w:r>
          <w:hyperlink w:anchor="_Toc210985633" w:history="1">
            <w:r w:rsidR="00BE42B0" w:rsidRPr="00834C18">
              <w:rPr>
                <w:rStyle w:val="Hyperlink"/>
                <w:noProof/>
              </w:rPr>
              <w:t>1. Predictive Power of Investment Factors</w:t>
            </w:r>
            <w:r w:rsidR="00BE42B0">
              <w:rPr>
                <w:noProof/>
                <w:webHidden/>
              </w:rPr>
              <w:tab/>
            </w:r>
            <w:r w:rsidR="00BE42B0">
              <w:rPr>
                <w:noProof/>
                <w:webHidden/>
              </w:rPr>
              <w:fldChar w:fldCharType="begin"/>
            </w:r>
            <w:r w:rsidR="00BE42B0">
              <w:rPr>
                <w:noProof/>
                <w:webHidden/>
              </w:rPr>
              <w:instrText xml:space="preserve"> PAGEREF _Toc210985633 \h </w:instrText>
            </w:r>
            <w:r w:rsidR="00BE42B0">
              <w:rPr>
                <w:noProof/>
                <w:webHidden/>
              </w:rPr>
            </w:r>
            <w:r w:rsidR="00BE42B0">
              <w:rPr>
                <w:noProof/>
                <w:webHidden/>
              </w:rPr>
              <w:fldChar w:fldCharType="separate"/>
            </w:r>
            <w:r w:rsidR="00BE42B0">
              <w:rPr>
                <w:noProof/>
                <w:webHidden/>
              </w:rPr>
              <w:t>3</w:t>
            </w:r>
            <w:r w:rsidR="00BE42B0">
              <w:rPr>
                <w:noProof/>
                <w:webHidden/>
              </w:rPr>
              <w:fldChar w:fldCharType="end"/>
            </w:r>
          </w:hyperlink>
        </w:p>
        <w:p w14:paraId="55CF8413" w14:textId="648A41F7" w:rsidR="00BE42B0" w:rsidRDefault="00BE42B0">
          <w:pPr>
            <w:pStyle w:val="TOC1"/>
            <w:tabs>
              <w:tab w:val="right" w:leader="dot" w:pos="9016"/>
            </w:tabs>
            <w:rPr>
              <w:noProof/>
              <w:kern w:val="2"/>
              <w:sz w:val="24"/>
              <w:szCs w:val="24"/>
              <w:lang w:eastAsia="en-AU"/>
              <w14:ligatures w14:val="standardContextual"/>
            </w:rPr>
          </w:pPr>
          <w:hyperlink w:anchor="_Toc210985634" w:history="1">
            <w:r w:rsidRPr="00834C18">
              <w:rPr>
                <w:rStyle w:val="Hyperlink"/>
                <w:noProof/>
              </w:rPr>
              <w:t>2. Effect of Macroeconomic Environment</w:t>
            </w:r>
            <w:r>
              <w:rPr>
                <w:noProof/>
                <w:webHidden/>
              </w:rPr>
              <w:tab/>
            </w:r>
            <w:r>
              <w:rPr>
                <w:noProof/>
                <w:webHidden/>
              </w:rPr>
              <w:fldChar w:fldCharType="begin"/>
            </w:r>
            <w:r>
              <w:rPr>
                <w:noProof/>
                <w:webHidden/>
              </w:rPr>
              <w:instrText xml:space="preserve"> PAGEREF _Toc210985634 \h </w:instrText>
            </w:r>
            <w:r>
              <w:rPr>
                <w:noProof/>
                <w:webHidden/>
              </w:rPr>
            </w:r>
            <w:r>
              <w:rPr>
                <w:noProof/>
                <w:webHidden/>
              </w:rPr>
              <w:fldChar w:fldCharType="separate"/>
            </w:r>
            <w:r>
              <w:rPr>
                <w:noProof/>
                <w:webHidden/>
              </w:rPr>
              <w:t>4</w:t>
            </w:r>
            <w:r>
              <w:rPr>
                <w:noProof/>
                <w:webHidden/>
              </w:rPr>
              <w:fldChar w:fldCharType="end"/>
            </w:r>
          </w:hyperlink>
        </w:p>
        <w:p w14:paraId="150AB834" w14:textId="64E5A138" w:rsidR="00BE42B0" w:rsidRDefault="00BE42B0">
          <w:pPr>
            <w:pStyle w:val="TOC1"/>
            <w:tabs>
              <w:tab w:val="right" w:leader="dot" w:pos="9016"/>
            </w:tabs>
            <w:rPr>
              <w:noProof/>
              <w:kern w:val="2"/>
              <w:sz w:val="24"/>
              <w:szCs w:val="24"/>
              <w:lang w:eastAsia="en-AU"/>
              <w14:ligatures w14:val="standardContextual"/>
            </w:rPr>
          </w:pPr>
          <w:hyperlink w:anchor="_Toc210985635" w:history="1">
            <w:r w:rsidRPr="00834C18">
              <w:rPr>
                <w:rStyle w:val="Hyperlink"/>
                <w:noProof/>
              </w:rPr>
              <w:t>3. Back testing Results</w:t>
            </w:r>
            <w:r>
              <w:rPr>
                <w:noProof/>
                <w:webHidden/>
              </w:rPr>
              <w:tab/>
            </w:r>
            <w:r>
              <w:rPr>
                <w:noProof/>
                <w:webHidden/>
              </w:rPr>
              <w:fldChar w:fldCharType="begin"/>
            </w:r>
            <w:r>
              <w:rPr>
                <w:noProof/>
                <w:webHidden/>
              </w:rPr>
              <w:instrText xml:space="preserve"> PAGEREF _Toc210985635 \h </w:instrText>
            </w:r>
            <w:r>
              <w:rPr>
                <w:noProof/>
                <w:webHidden/>
              </w:rPr>
            </w:r>
            <w:r>
              <w:rPr>
                <w:noProof/>
                <w:webHidden/>
              </w:rPr>
              <w:fldChar w:fldCharType="separate"/>
            </w:r>
            <w:r>
              <w:rPr>
                <w:noProof/>
                <w:webHidden/>
              </w:rPr>
              <w:t>5</w:t>
            </w:r>
            <w:r>
              <w:rPr>
                <w:noProof/>
                <w:webHidden/>
              </w:rPr>
              <w:fldChar w:fldCharType="end"/>
            </w:r>
          </w:hyperlink>
        </w:p>
        <w:p w14:paraId="57495A90" w14:textId="78A925EC" w:rsidR="00BE42B0" w:rsidRDefault="00BE42B0">
          <w:pPr>
            <w:pStyle w:val="TOC1"/>
            <w:tabs>
              <w:tab w:val="right" w:leader="dot" w:pos="9016"/>
            </w:tabs>
            <w:rPr>
              <w:noProof/>
              <w:kern w:val="2"/>
              <w:sz w:val="24"/>
              <w:szCs w:val="24"/>
              <w:lang w:eastAsia="en-AU"/>
              <w14:ligatures w14:val="standardContextual"/>
            </w:rPr>
          </w:pPr>
          <w:hyperlink w:anchor="_Toc210985636" w:history="1">
            <w:r w:rsidRPr="00834C18">
              <w:rPr>
                <w:rStyle w:val="Hyperlink"/>
                <w:noProof/>
              </w:rPr>
              <w:t>4. Rebalancing Frequency Optimisation</w:t>
            </w:r>
            <w:r>
              <w:rPr>
                <w:noProof/>
                <w:webHidden/>
              </w:rPr>
              <w:tab/>
            </w:r>
            <w:r>
              <w:rPr>
                <w:noProof/>
                <w:webHidden/>
              </w:rPr>
              <w:fldChar w:fldCharType="begin"/>
            </w:r>
            <w:r>
              <w:rPr>
                <w:noProof/>
                <w:webHidden/>
              </w:rPr>
              <w:instrText xml:space="preserve"> PAGEREF _Toc210985636 \h </w:instrText>
            </w:r>
            <w:r>
              <w:rPr>
                <w:noProof/>
                <w:webHidden/>
              </w:rPr>
            </w:r>
            <w:r>
              <w:rPr>
                <w:noProof/>
                <w:webHidden/>
              </w:rPr>
              <w:fldChar w:fldCharType="separate"/>
            </w:r>
            <w:r>
              <w:rPr>
                <w:noProof/>
                <w:webHidden/>
              </w:rPr>
              <w:t>6</w:t>
            </w:r>
            <w:r>
              <w:rPr>
                <w:noProof/>
                <w:webHidden/>
              </w:rPr>
              <w:fldChar w:fldCharType="end"/>
            </w:r>
          </w:hyperlink>
        </w:p>
        <w:p w14:paraId="34241E94" w14:textId="6292B4CA" w:rsidR="00BE42B0" w:rsidRDefault="00BE42B0">
          <w:pPr>
            <w:pStyle w:val="TOC1"/>
            <w:tabs>
              <w:tab w:val="right" w:leader="dot" w:pos="9016"/>
            </w:tabs>
            <w:rPr>
              <w:noProof/>
              <w:kern w:val="2"/>
              <w:sz w:val="24"/>
              <w:szCs w:val="24"/>
              <w:lang w:eastAsia="en-AU"/>
              <w14:ligatures w14:val="standardContextual"/>
            </w:rPr>
          </w:pPr>
          <w:hyperlink w:anchor="_Toc210985637" w:history="1">
            <w:r w:rsidRPr="00834C18">
              <w:rPr>
                <w:rStyle w:val="Hyperlink"/>
                <w:noProof/>
              </w:rPr>
              <w:t>5. Optimal Factor Combination</w:t>
            </w:r>
            <w:r>
              <w:rPr>
                <w:noProof/>
                <w:webHidden/>
              </w:rPr>
              <w:tab/>
            </w:r>
            <w:r>
              <w:rPr>
                <w:noProof/>
                <w:webHidden/>
              </w:rPr>
              <w:fldChar w:fldCharType="begin"/>
            </w:r>
            <w:r>
              <w:rPr>
                <w:noProof/>
                <w:webHidden/>
              </w:rPr>
              <w:instrText xml:space="preserve"> PAGEREF _Toc210985637 \h </w:instrText>
            </w:r>
            <w:r>
              <w:rPr>
                <w:noProof/>
                <w:webHidden/>
              </w:rPr>
            </w:r>
            <w:r>
              <w:rPr>
                <w:noProof/>
                <w:webHidden/>
              </w:rPr>
              <w:fldChar w:fldCharType="separate"/>
            </w:r>
            <w:r>
              <w:rPr>
                <w:noProof/>
                <w:webHidden/>
              </w:rPr>
              <w:t>7</w:t>
            </w:r>
            <w:r>
              <w:rPr>
                <w:noProof/>
                <w:webHidden/>
              </w:rPr>
              <w:fldChar w:fldCharType="end"/>
            </w:r>
          </w:hyperlink>
        </w:p>
        <w:p w14:paraId="68B5EC8E" w14:textId="65665A16" w:rsidR="00BE42B0" w:rsidRDefault="00BE42B0">
          <w:pPr>
            <w:pStyle w:val="TOC1"/>
            <w:tabs>
              <w:tab w:val="right" w:leader="dot" w:pos="9016"/>
            </w:tabs>
            <w:rPr>
              <w:noProof/>
              <w:kern w:val="2"/>
              <w:sz w:val="24"/>
              <w:szCs w:val="24"/>
              <w:lang w:eastAsia="en-AU"/>
              <w14:ligatures w14:val="standardContextual"/>
            </w:rPr>
          </w:pPr>
          <w:hyperlink w:anchor="_Toc210985638" w:history="1">
            <w:r w:rsidRPr="00834C18">
              <w:rPr>
                <w:rStyle w:val="Hyperlink"/>
                <w:noProof/>
              </w:rPr>
              <w:t>6. Machine Learning Factor Investing Approach</w:t>
            </w:r>
            <w:r>
              <w:rPr>
                <w:noProof/>
                <w:webHidden/>
              </w:rPr>
              <w:tab/>
            </w:r>
            <w:r>
              <w:rPr>
                <w:noProof/>
                <w:webHidden/>
              </w:rPr>
              <w:fldChar w:fldCharType="begin"/>
            </w:r>
            <w:r>
              <w:rPr>
                <w:noProof/>
                <w:webHidden/>
              </w:rPr>
              <w:instrText xml:space="preserve"> PAGEREF _Toc210985638 \h </w:instrText>
            </w:r>
            <w:r>
              <w:rPr>
                <w:noProof/>
                <w:webHidden/>
              </w:rPr>
            </w:r>
            <w:r>
              <w:rPr>
                <w:noProof/>
                <w:webHidden/>
              </w:rPr>
              <w:fldChar w:fldCharType="separate"/>
            </w:r>
            <w:r>
              <w:rPr>
                <w:noProof/>
                <w:webHidden/>
              </w:rPr>
              <w:t>8</w:t>
            </w:r>
            <w:r>
              <w:rPr>
                <w:noProof/>
                <w:webHidden/>
              </w:rPr>
              <w:fldChar w:fldCharType="end"/>
            </w:r>
          </w:hyperlink>
        </w:p>
        <w:p w14:paraId="2640E6CB" w14:textId="2BA41D8A" w:rsidR="00BE42B0" w:rsidRDefault="00BE42B0">
          <w:pPr>
            <w:pStyle w:val="TOC1"/>
            <w:tabs>
              <w:tab w:val="right" w:leader="dot" w:pos="9016"/>
            </w:tabs>
            <w:rPr>
              <w:noProof/>
              <w:kern w:val="2"/>
              <w:sz w:val="24"/>
              <w:szCs w:val="24"/>
              <w:lang w:eastAsia="en-AU"/>
              <w14:ligatures w14:val="standardContextual"/>
            </w:rPr>
          </w:pPr>
          <w:hyperlink w:anchor="_Toc210985639" w:history="1">
            <w:r w:rsidRPr="00834C18">
              <w:rPr>
                <w:rStyle w:val="Hyperlink"/>
                <w:noProof/>
              </w:rPr>
              <w:t>References</w:t>
            </w:r>
            <w:r>
              <w:rPr>
                <w:noProof/>
                <w:webHidden/>
              </w:rPr>
              <w:tab/>
            </w:r>
            <w:r>
              <w:rPr>
                <w:noProof/>
                <w:webHidden/>
              </w:rPr>
              <w:fldChar w:fldCharType="begin"/>
            </w:r>
            <w:r>
              <w:rPr>
                <w:noProof/>
                <w:webHidden/>
              </w:rPr>
              <w:instrText xml:space="preserve"> PAGEREF _Toc210985639 \h </w:instrText>
            </w:r>
            <w:r>
              <w:rPr>
                <w:noProof/>
                <w:webHidden/>
              </w:rPr>
            </w:r>
            <w:r>
              <w:rPr>
                <w:noProof/>
                <w:webHidden/>
              </w:rPr>
              <w:fldChar w:fldCharType="separate"/>
            </w:r>
            <w:r>
              <w:rPr>
                <w:noProof/>
                <w:webHidden/>
              </w:rPr>
              <w:t>9</w:t>
            </w:r>
            <w:r>
              <w:rPr>
                <w:noProof/>
                <w:webHidden/>
              </w:rPr>
              <w:fldChar w:fldCharType="end"/>
            </w:r>
          </w:hyperlink>
        </w:p>
        <w:p w14:paraId="22E2C01B" w14:textId="007D1455" w:rsidR="00BE42B0" w:rsidRDefault="00BE42B0">
          <w:pPr>
            <w:pStyle w:val="TOC1"/>
            <w:tabs>
              <w:tab w:val="right" w:leader="dot" w:pos="9016"/>
            </w:tabs>
            <w:rPr>
              <w:noProof/>
              <w:kern w:val="2"/>
              <w:sz w:val="24"/>
              <w:szCs w:val="24"/>
              <w:lang w:eastAsia="en-AU"/>
              <w14:ligatures w14:val="standardContextual"/>
            </w:rPr>
          </w:pPr>
          <w:hyperlink w:anchor="_Toc210985640" w:history="1">
            <w:r w:rsidRPr="00834C18">
              <w:rPr>
                <w:rStyle w:val="Hyperlink"/>
                <w:noProof/>
              </w:rPr>
              <w:t>Appendix A</w:t>
            </w:r>
            <w:r>
              <w:rPr>
                <w:noProof/>
                <w:webHidden/>
              </w:rPr>
              <w:tab/>
            </w:r>
            <w:r>
              <w:rPr>
                <w:noProof/>
                <w:webHidden/>
              </w:rPr>
              <w:fldChar w:fldCharType="begin"/>
            </w:r>
            <w:r>
              <w:rPr>
                <w:noProof/>
                <w:webHidden/>
              </w:rPr>
              <w:instrText xml:space="preserve"> PAGEREF _Toc210985640 \h </w:instrText>
            </w:r>
            <w:r>
              <w:rPr>
                <w:noProof/>
                <w:webHidden/>
              </w:rPr>
            </w:r>
            <w:r>
              <w:rPr>
                <w:noProof/>
                <w:webHidden/>
              </w:rPr>
              <w:fldChar w:fldCharType="separate"/>
            </w:r>
            <w:r>
              <w:rPr>
                <w:noProof/>
                <w:webHidden/>
              </w:rPr>
              <w:t>10</w:t>
            </w:r>
            <w:r>
              <w:rPr>
                <w:noProof/>
                <w:webHidden/>
              </w:rPr>
              <w:fldChar w:fldCharType="end"/>
            </w:r>
          </w:hyperlink>
        </w:p>
        <w:p w14:paraId="6368E204" w14:textId="6FF094C9" w:rsidR="00932B56" w:rsidRDefault="00932B56">
          <w:r>
            <w:rPr>
              <w:b/>
              <w:bCs/>
              <w:noProof/>
            </w:rPr>
            <w:fldChar w:fldCharType="end"/>
          </w:r>
        </w:p>
      </w:sdtContent>
    </w:sdt>
    <w:p w14:paraId="125EAAB7" w14:textId="77777777" w:rsidR="00B73993" w:rsidRDefault="00B73993" w:rsidP="0020137E">
      <w:pPr>
        <w:rPr>
          <w:rFonts w:asciiTheme="majorHAnsi" w:eastAsiaTheme="majorEastAsia" w:hAnsiTheme="majorHAnsi" w:cstheme="majorBidi"/>
          <w:spacing w:val="4"/>
          <w:sz w:val="28"/>
          <w:szCs w:val="28"/>
        </w:rPr>
      </w:pPr>
      <w:r>
        <w:br w:type="page"/>
      </w:r>
    </w:p>
    <w:p w14:paraId="7875B29E" w14:textId="4134BE72" w:rsidR="00494B4A" w:rsidRDefault="002F2E85" w:rsidP="002F2E85">
      <w:pPr>
        <w:pStyle w:val="Heading1"/>
      </w:pPr>
      <w:bookmarkStart w:id="0" w:name="_Toc210985633"/>
      <w:r w:rsidRPr="002F2E85">
        <w:lastRenderedPageBreak/>
        <w:t>1.</w:t>
      </w:r>
      <w:r>
        <w:t xml:space="preserve"> </w:t>
      </w:r>
      <w:r w:rsidR="00494B4A">
        <w:t xml:space="preserve">Predictive </w:t>
      </w:r>
      <w:r w:rsidR="00B5778A">
        <w:t>P</w:t>
      </w:r>
      <w:r w:rsidR="00494B4A">
        <w:t xml:space="preserve">ower of </w:t>
      </w:r>
      <w:r w:rsidR="00B5778A">
        <w:t>I</w:t>
      </w:r>
      <w:r w:rsidR="00494B4A">
        <w:t xml:space="preserve">nvestment </w:t>
      </w:r>
      <w:r w:rsidR="00B5778A">
        <w:t>F</w:t>
      </w:r>
      <w:r w:rsidR="00494B4A">
        <w:t>actor</w:t>
      </w:r>
      <w:r w:rsidR="003272D8">
        <w:t>s</w:t>
      </w:r>
      <w:bookmarkEnd w:id="0"/>
    </w:p>
    <w:p w14:paraId="4B118223" w14:textId="39A87060" w:rsidR="0020137E" w:rsidRDefault="0020137E" w:rsidP="00B564BB">
      <w:r>
        <w:t xml:space="preserve">The CAPM model of asset pricing </w:t>
      </w:r>
      <w:r w:rsidR="00326E09">
        <w:t xml:space="preserve">claims to </w:t>
      </w:r>
      <w:r>
        <w:t>inextricably link</w:t>
      </w:r>
      <w:r w:rsidR="00326E09">
        <w:t xml:space="preserve"> investment returns to investment risks, as classified by the investment’s beta term, the amount that the security moves for each move in the market. </w:t>
      </w:r>
      <w:r w:rsidR="00D773A8">
        <w:t>However,</w:t>
      </w:r>
      <w:r w:rsidR="00326E09">
        <w:t xml:space="preserve"> the belief that the CAPM asset pricing model captures all return and all risk and even that all return must be captured by risk was challenged</w:t>
      </w:r>
      <w:r w:rsidR="00D773A8">
        <w:t xml:space="preserve"> first by Ross (1976) developing the APT model which sought to describe returns by multiple risk coefficients, rather than simply beta. Fama and French (1992) expanded the </w:t>
      </w:r>
      <w:r w:rsidR="00437FE0">
        <w:t xml:space="preserve">multi-factor model showing that </w:t>
      </w:r>
      <w:r w:rsidR="00437FE0" w:rsidRPr="00437FE0">
        <w:t xml:space="preserve">“two easily measured variables, size and book-to-market equity, combine to capture the cross-sectional variation in average </w:t>
      </w:r>
      <w:r w:rsidR="00437FE0">
        <w:t>s</w:t>
      </w:r>
      <w:r w:rsidR="00437FE0" w:rsidRPr="00437FE0">
        <w:t xml:space="preserve">tock </w:t>
      </w:r>
      <w:r w:rsidR="00437FE0">
        <w:t>r</w:t>
      </w:r>
      <w:r w:rsidR="00437FE0" w:rsidRPr="00437FE0">
        <w:t>eturns”</w:t>
      </w:r>
      <w:r w:rsidR="00F34C01">
        <w:t xml:space="preserve">. This </w:t>
      </w:r>
      <w:r w:rsidR="005C679C">
        <w:t>kicked off the rise of factor investing where investor</w:t>
      </w:r>
      <w:r w:rsidR="00243239">
        <w:t>s</w:t>
      </w:r>
      <w:r w:rsidR="005C679C">
        <w:t xml:space="preserve"> seek factors which can predict stock market returns. This report explores </w:t>
      </w:r>
      <w:r w:rsidR="00243239">
        <w:t>the statistical backing and financial viability of three</w:t>
      </w:r>
      <w:r w:rsidR="005C679C">
        <w:t xml:space="preserve"> defensive factors, low volatility, profit, and safety.</w:t>
      </w:r>
    </w:p>
    <w:p w14:paraId="3B256A3E" w14:textId="50B9068E" w:rsidR="008D3DB5" w:rsidRDefault="002F1A2A" w:rsidP="00B564BB">
      <w:r>
        <w:t>The l</w:t>
      </w:r>
      <w:r w:rsidR="005C679C">
        <w:t xml:space="preserve">ow volatility factor </w:t>
      </w:r>
      <w:proofErr w:type="gramStart"/>
      <w:r w:rsidR="008462BD">
        <w:t>score</w:t>
      </w:r>
      <w:proofErr w:type="gramEnd"/>
      <w:r w:rsidR="005C679C">
        <w:t xml:space="preserve"> </w:t>
      </w:r>
      <w:r w:rsidR="008462BD">
        <w:t>favour</w:t>
      </w:r>
      <w:r w:rsidR="00D6323F">
        <w:t>s firms</w:t>
      </w:r>
      <w:r w:rsidR="005C679C">
        <w:t xml:space="preserve"> who stock price </w:t>
      </w:r>
      <w:r w:rsidR="008462BD">
        <w:t>demonstrates</w:t>
      </w:r>
      <w:r w:rsidR="005C679C">
        <w:t xml:space="preserve"> low fluctuations and</w:t>
      </w:r>
      <w:r w:rsidR="008462BD">
        <w:t xml:space="preserve"> low sensitivity to market movements</w:t>
      </w:r>
      <w:r w:rsidR="008462BD" w:rsidRPr="00EE7CDF">
        <w:t xml:space="preserve">. </w:t>
      </w:r>
      <w:r w:rsidR="00EE7CDF" w:rsidRPr="00EE7CDF">
        <w:t>Blitz and van Vliet (2007) documented a volatility effect</w:t>
      </w:r>
      <w:r w:rsidR="00564739">
        <w:t>,</w:t>
      </w:r>
      <w:r w:rsidR="00EE7CDF" w:rsidRPr="00EE7CDF">
        <w:t xml:space="preserve"> global low-volatility portfolios earned materially higher risk-adjusted returns</w:t>
      </w:r>
      <w:r w:rsidR="00564739">
        <w:t>, this can also be demonstrated within the data analysed for this report.</w:t>
      </w:r>
    </w:p>
    <w:p w14:paraId="5FC71EF9" w14:textId="5E3B453C" w:rsidR="008D3DB5" w:rsidRPr="0020137E" w:rsidRDefault="00D6323F" w:rsidP="00B564BB">
      <w:r>
        <w:t xml:space="preserve">The </w:t>
      </w:r>
      <w:r w:rsidR="002F1A2A">
        <w:t>p</w:t>
      </w:r>
      <w:r>
        <w:t xml:space="preserve">rofitability factor </w:t>
      </w:r>
      <w:proofErr w:type="gramStart"/>
      <w:r w:rsidR="008F623F">
        <w:t>score</w:t>
      </w:r>
      <w:proofErr w:type="gramEnd"/>
      <w:r>
        <w:t xml:space="preserve"> favours firms with strong profitability metrics such </w:t>
      </w:r>
      <w:r w:rsidRPr="00D6323F">
        <w:t xml:space="preserve">as gross profits-to-assets, </w:t>
      </w:r>
      <w:r w:rsidRPr="00D6323F">
        <w:t>return on</w:t>
      </w:r>
      <w:r w:rsidRPr="00D6323F">
        <w:t xml:space="preserve"> equity, return on assets, cash flow-to-assets, and gross margin.</w:t>
      </w:r>
      <w:r w:rsidR="00DB0D29">
        <w:t xml:space="preserve"> Novy-Marx (2013) showed that stocks with high profitability have higher subsequent returns, which is why this investment factor has been selected for evaluation.</w:t>
      </w:r>
    </w:p>
    <w:p w14:paraId="1BAF68F7" w14:textId="1718FCB0" w:rsidR="00077613" w:rsidRDefault="00F975E7" w:rsidP="00B564BB">
      <w:r>
        <w:t>The safety factor is a combined score which incorporates variables which describe firms with lower risk. These variables include low beta, low leverage and low bankruptcy risk alongside stable earnings.</w:t>
      </w:r>
      <w:r w:rsidR="002F1A2A">
        <w:t xml:space="preserve"> This factor overlaps with the low volatility factor to a certain </w:t>
      </w:r>
      <w:r w:rsidR="00651672">
        <w:t>degree but</w:t>
      </w:r>
      <w:r w:rsidR="002F1A2A">
        <w:t xml:space="preserve"> also captures other information that has been prove</w:t>
      </w:r>
      <w:r w:rsidR="003769DF">
        <w:t xml:space="preserve">n </w:t>
      </w:r>
      <w:r w:rsidR="002F1A2A">
        <w:t>to have predictive power.</w:t>
      </w:r>
      <w:r w:rsidR="003769DF">
        <w:t xml:space="preserve"> </w:t>
      </w:r>
      <w:r w:rsidR="000F2B78">
        <w:t>High</w:t>
      </w:r>
      <w:r w:rsidR="003769DF">
        <w:t xml:space="preserve"> leverage is “negatively associated with future stock returns” </w:t>
      </w:r>
      <w:r w:rsidR="003769DF" w:rsidRPr="003769DF">
        <w:t>(Penman et al., 2005, p. </w:t>
      </w:r>
      <w:r w:rsidR="003769DF">
        <w:t>2</w:t>
      </w:r>
      <w:r w:rsidR="003769DF" w:rsidRPr="003769DF">
        <w:t>)</w:t>
      </w:r>
      <w:r w:rsidR="00766AA2">
        <w:t xml:space="preserve">. </w:t>
      </w:r>
      <w:r w:rsidR="00766AA2" w:rsidRPr="00766AA2">
        <w:t>Campbell</w:t>
      </w:r>
      <w:r w:rsidR="00766AA2">
        <w:t>,</w:t>
      </w:r>
      <w:r w:rsidR="00766AA2" w:rsidRPr="00766AA2">
        <w:t xml:space="preserve"> Hilscher</w:t>
      </w:r>
      <w:r w:rsidR="00766AA2">
        <w:t xml:space="preserve"> and </w:t>
      </w:r>
      <w:r w:rsidR="00766AA2" w:rsidRPr="00766AA2">
        <w:t>Szilagyi (2006)</w:t>
      </w:r>
      <w:r w:rsidR="00766AA2" w:rsidRPr="00766AA2">
        <w:t xml:space="preserve"> </w:t>
      </w:r>
      <w:r w:rsidR="00766AA2">
        <w:t>found that distressed firms have lower than expected returns even when accounting for other investment factors.</w:t>
      </w:r>
    </w:p>
    <w:p w14:paraId="1B459031" w14:textId="77777777" w:rsidR="00E96903" w:rsidRDefault="00E96903">
      <w:pPr>
        <w:rPr>
          <w:rFonts w:eastAsiaTheme="majorEastAsia" w:cstheme="majorBidi"/>
          <w:b/>
          <w:bCs/>
          <w:sz w:val="28"/>
          <w:szCs w:val="28"/>
        </w:rPr>
      </w:pPr>
      <w:r>
        <w:br w:type="page"/>
      </w:r>
    </w:p>
    <w:p w14:paraId="00CD0CE5" w14:textId="432DA85C" w:rsidR="00695F09" w:rsidRDefault="00E96903" w:rsidP="00B564BB">
      <w:pPr>
        <w:pStyle w:val="Heading2"/>
      </w:pPr>
      <w:r>
        <w:rPr>
          <w:noProof/>
        </w:rPr>
        <w:lastRenderedPageBreak/>
        <w:drawing>
          <wp:anchor distT="0" distB="0" distL="114300" distR="114300" simplePos="0" relativeHeight="251659264" behindDoc="0" locked="0" layoutInCell="1" allowOverlap="1" wp14:anchorId="14750DEF" wp14:editId="49A0BBD2">
            <wp:simplePos x="0" y="0"/>
            <wp:positionH relativeFrom="margin">
              <wp:align>center</wp:align>
            </wp:positionH>
            <wp:positionV relativeFrom="paragraph">
              <wp:posOffset>348122</wp:posOffset>
            </wp:positionV>
            <wp:extent cx="3492500" cy="2543810"/>
            <wp:effectExtent l="0" t="0" r="0" b="8890"/>
            <wp:wrapTopAndBottom/>
            <wp:docPr id="622834779" name="Picture 3"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4779" name="Picture 3" descr="A graph of a number of different colored ba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2500" cy="2543810"/>
                    </a:xfrm>
                    <a:prstGeom prst="rect">
                      <a:avLst/>
                    </a:prstGeom>
                  </pic:spPr>
                </pic:pic>
              </a:graphicData>
            </a:graphic>
            <wp14:sizeRelH relativeFrom="margin">
              <wp14:pctWidth>0</wp14:pctWidth>
            </wp14:sizeRelH>
            <wp14:sizeRelV relativeFrom="margin">
              <wp14:pctHeight>0</wp14:pctHeight>
            </wp14:sizeRelV>
          </wp:anchor>
        </w:drawing>
      </w:r>
      <w:r w:rsidR="00946565" w:rsidRPr="00946565">
        <w:t xml:space="preserve">Quantile Analysis for </w:t>
      </w:r>
      <w:r w:rsidR="00946565">
        <w:t>E</w:t>
      </w:r>
      <w:r w:rsidR="00946565" w:rsidRPr="00946565">
        <w:t xml:space="preserve">ach </w:t>
      </w:r>
      <w:r w:rsidR="00946565">
        <w:t>F</w:t>
      </w:r>
      <w:r w:rsidR="00946565" w:rsidRPr="00946565">
        <w:t>actor</w:t>
      </w:r>
    </w:p>
    <w:p w14:paraId="541E41E7" w14:textId="2FA40A58" w:rsidR="007C77DF" w:rsidRPr="007C77DF" w:rsidRDefault="007C77DF" w:rsidP="00B564BB"/>
    <w:p w14:paraId="420826C6" w14:textId="1DE46518" w:rsidR="002A277A" w:rsidRDefault="00B564BB" w:rsidP="00B564BB">
      <w:r>
        <w:t>Each month</w:t>
      </w:r>
      <w:r w:rsidR="002A277A">
        <w:t xml:space="preserve"> from January 1980 till December 2023 </w:t>
      </w:r>
      <w:r>
        <w:t>all stocks within the dataset are sorted into four</w:t>
      </w:r>
      <w:r w:rsidR="002A277A">
        <w:t xml:space="preserve"> quartiles.</w:t>
      </w:r>
      <w:r>
        <w:t xml:space="preserve"> For each month we form equal weighted portfolio of the stocks in each quartile and record the next moth return. This is shown in figure #, where i</w:t>
      </w:r>
      <w:r w:rsidR="002A277A">
        <w:t>t can be seen that the factors are able to effectively split the wheat from the chaff. Bucket one are the stocks that scored the worse on the volatility/</w:t>
      </w:r>
      <w:r w:rsidR="00980260">
        <w:t>p</w:t>
      </w:r>
      <w:r w:rsidR="002A277A">
        <w:t>rofit/</w:t>
      </w:r>
      <w:r w:rsidR="00980260">
        <w:t>s</w:t>
      </w:r>
      <w:r w:rsidR="002A277A">
        <w:t>afety</w:t>
      </w:r>
      <w:r w:rsidR="00980260">
        <w:t xml:space="preserve"> score and clearly </w:t>
      </w:r>
      <w:r>
        <w:t>underperforms</w:t>
      </w:r>
      <w:r w:rsidR="00980260">
        <w:t xml:space="preserve"> relative to the other buckets, especially bucket </w:t>
      </w:r>
      <w:r>
        <w:t>four</w:t>
      </w:r>
      <w:r w:rsidR="00980260">
        <w:t xml:space="preserve"> which contains the average returns of the stocks that scored the best in the months that they scored the best</w:t>
      </w:r>
      <w:r w:rsidR="00FE79CE">
        <w:t>.</w:t>
      </w:r>
    </w:p>
    <w:p w14:paraId="32781ED7" w14:textId="70D67488" w:rsidR="00FE79CE" w:rsidRDefault="00E96903" w:rsidP="00E96903">
      <w:r>
        <w:rPr>
          <w:noProof/>
        </w:rPr>
        <w:drawing>
          <wp:anchor distT="0" distB="0" distL="114300" distR="114300" simplePos="0" relativeHeight="251660288" behindDoc="0" locked="0" layoutInCell="1" allowOverlap="1" wp14:anchorId="2B0342B1" wp14:editId="1A27F2C4">
            <wp:simplePos x="0" y="0"/>
            <wp:positionH relativeFrom="margin">
              <wp:align>center</wp:align>
            </wp:positionH>
            <wp:positionV relativeFrom="paragraph">
              <wp:posOffset>9253</wp:posOffset>
            </wp:positionV>
            <wp:extent cx="4021455" cy="2712085"/>
            <wp:effectExtent l="0" t="0" r="0" b="0"/>
            <wp:wrapTopAndBottom/>
            <wp:docPr id="1540581588" name="Picture 4" descr="A graph of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1588" name="Picture 4" descr="A graph of a bucke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21455" cy="2712085"/>
                    </a:xfrm>
                    <a:prstGeom prst="rect">
                      <a:avLst/>
                    </a:prstGeom>
                  </pic:spPr>
                </pic:pic>
              </a:graphicData>
            </a:graphic>
            <wp14:sizeRelH relativeFrom="margin">
              <wp14:pctWidth>0</wp14:pctWidth>
            </wp14:sizeRelH>
            <wp14:sizeRelV relativeFrom="margin">
              <wp14:pctHeight>0</wp14:pctHeight>
            </wp14:sizeRelV>
          </wp:anchor>
        </w:drawing>
      </w:r>
      <w:r w:rsidR="00FE79CE">
        <w:t xml:space="preserve">Figure # shows the same predictive power of the factors however also shows the risk vs reward of these simplified factor bucket </w:t>
      </w:r>
      <w:r>
        <w:t>portfolios.</w:t>
      </w:r>
    </w:p>
    <w:p w14:paraId="5A95ED70" w14:textId="6EDA93B1" w:rsidR="005D699C" w:rsidRDefault="00A45547" w:rsidP="00E96903">
      <w:r>
        <w:t xml:space="preserve">See </w:t>
      </w:r>
      <w:r>
        <w:t>Appendix A - $1 Invested in Factor Buckets</w:t>
      </w:r>
      <w:r>
        <w:t xml:space="preserve">, for </w:t>
      </w:r>
      <w:r w:rsidR="00481DC6">
        <w:t xml:space="preserve">additional comparison of </w:t>
      </w:r>
      <w:r w:rsidR="00DF60B9">
        <w:t>performance of factor buckets.</w:t>
      </w:r>
    </w:p>
    <w:p w14:paraId="37F13EA8" w14:textId="77777777" w:rsidR="00A146B1" w:rsidRDefault="00A146B1">
      <w:r>
        <w:br w:type="page"/>
      </w:r>
    </w:p>
    <w:p w14:paraId="12D9BE24" w14:textId="226280BB" w:rsidR="005D699C" w:rsidRPr="00A146B1" w:rsidRDefault="007B2FFC" w:rsidP="00A146B1">
      <w:pPr>
        <w:pStyle w:val="Heading2"/>
      </w:pPr>
      <w:r>
        <w:lastRenderedPageBreak/>
        <w:t>Quantile Analysis over Time</w:t>
      </w:r>
    </w:p>
    <w:p w14:paraId="7FCD9D1F" w14:textId="7E7A3232" w:rsidR="00BC2776" w:rsidRDefault="00CD38C4" w:rsidP="00BC2776">
      <w:r>
        <w:rPr>
          <w:noProof/>
        </w:rPr>
        <w:drawing>
          <wp:anchor distT="0" distB="0" distL="114300" distR="114300" simplePos="0" relativeHeight="251666432" behindDoc="0" locked="0" layoutInCell="1" allowOverlap="1" wp14:anchorId="01EA4EC5" wp14:editId="41D91369">
            <wp:simplePos x="0" y="0"/>
            <wp:positionH relativeFrom="column">
              <wp:posOffset>20608</wp:posOffset>
            </wp:positionH>
            <wp:positionV relativeFrom="paragraph">
              <wp:posOffset>4095519</wp:posOffset>
            </wp:positionV>
            <wp:extent cx="3331210" cy="1979930"/>
            <wp:effectExtent l="0" t="0" r="2540" b="1270"/>
            <wp:wrapSquare wrapText="bothSides"/>
            <wp:docPr id="254683907" name="Picture 1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83907" name="Picture 16" descr="A graph of blue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31210" cy="1979930"/>
                    </a:xfrm>
                    <a:prstGeom prst="rect">
                      <a:avLst/>
                    </a:prstGeom>
                  </pic:spPr>
                </pic:pic>
              </a:graphicData>
            </a:graphic>
          </wp:anchor>
        </w:drawing>
      </w:r>
      <w:r w:rsidR="00A10B40">
        <w:rPr>
          <w:noProof/>
        </w:rPr>
        <w:drawing>
          <wp:anchor distT="0" distB="0" distL="114300" distR="114300" simplePos="0" relativeHeight="251665408" behindDoc="0" locked="0" layoutInCell="1" allowOverlap="1" wp14:anchorId="66D3CA45" wp14:editId="54251DBD">
            <wp:simplePos x="0" y="0"/>
            <wp:positionH relativeFrom="margin">
              <wp:align>left</wp:align>
            </wp:positionH>
            <wp:positionV relativeFrom="paragraph">
              <wp:posOffset>2065713</wp:posOffset>
            </wp:positionV>
            <wp:extent cx="3331210" cy="1979930"/>
            <wp:effectExtent l="0" t="0" r="2540" b="1270"/>
            <wp:wrapSquare wrapText="bothSides"/>
            <wp:docPr id="627425071"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25071" name="Picture 15" descr="A graph of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31210" cy="1979930"/>
                    </a:xfrm>
                    <a:prstGeom prst="rect">
                      <a:avLst/>
                    </a:prstGeom>
                  </pic:spPr>
                </pic:pic>
              </a:graphicData>
            </a:graphic>
          </wp:anchor>
        </w:drawing>
      </w:r>
      <w:r w:rsidR="00BC2776">
        <w:rPr>
          <w:noProof/>
        </w:rPr>
        <w:drawing>
          <wp:anchor distT="0" distB="0" distL="114300" distR="114300" simplePos="0" relativeHeight="251664384" behindDoc="0" locked="0" layoutInCell="1" allowOverlap="1" wp14:anchorId="322D53B0" wp14:editId="4B9A427F">
            <wp:simplePos x="0" y="0"/>
            <wp:positionH relativeFrom="column">
              <wp:posOffset>0</wp:posOffset>
            </wp:positionH>
            <wp:positionV relativeFrom="paragraph">
              <wp:posOffset>-1963</wp:posOffset>
            </wp:positionV>
            <wp:extent cx="3331745" cy="1980000"/>
            <wp:effectExtent l="0" t="0" r="2540" b="1270"/>
            <wp:wrapSquare wrapText="bothSides"/>
            <wp:docPr id="1544413275" name="Picture 14"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13275" name="Picture 14" descr="A graph of blue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745" cy="1980000"/>
                    </a:xfrm>
                    <a:prstGeom prst="rect">
                      <a:avLst/>
                    </a:prstGeom>
                  </pic:spPr>
                </pic:pic>
              </a:graphicData>
            </a:graphic>
          </wp:anchor>
        </w:drawing>
      </w:r>
      <w:r w:rsidR="00BC2776">
        <w:t>To show the performance of each of the factors over time</w:t>
      </w:r>
      <w:r w:rsidR="00BC2776">
        <w:t xml:space="preserve"> figure #, # and # have been prepared. Each figure shows the difference between the annualised return of the benchmark portfolio (equal weighted in every stock) vs the performance of being </w:t>
      </w:r>
      <w:r w:rsidR="00406684">
        <w:t xml:space="preserve">equally weighted in the top bucket stocks in each month over the course of each year. This is intended to show the performance of the factor over time and not to show the performance of a strategy </w:t>
      </w:r>
      <w:r w:rsidR="002F4885">
        <w:t>based on the factor.</w:t>
      </w:r>
      <w:r w:rsidR="002F4885">
        <w:br/>
        <w:t xml:space="preserve">It can be seen that in periods of distress </w:t>
      </w:r>
      <w:r w:rsidR="002E22BB">
        <w:t xml:space="preserve">the performance of all 3 factors is </w:t>
      </w:r>
      <w:r w:rsidR="00A10B40">
        <w:t>generally strong. In 2008 particularly these factors performed well, they also performed well in 2000 and 2001 during the dot-com crash. Curiously each of these factors did not perform well during 2020 with the impact of COVID-19. This underperformance is largely seen in the low volatility factor</w:t>
      </w:r>
      <w:r w:rsidR="007D081F">
        <w:t xml:space="preserve">. In 2020 low volatility performed well in the first 3 months during the downturn but was not exposed to the largely </w:t>
      </w:r>
      <w:r>
        <w:t>tech-based</w:t>
      </w:r>
      <w:r w:rsidR="007D081F">
        <w:t xml:space="preserve"> rally which helped the market end positive on the year, following the low volatility factor led to being underweight in growth orientated sectors </w:t>
      </w:r>
      <w:r w:rsidR="007D081F" w:rsidRPr="007D081F">
        <w:t>(Frazier, 2022)</w:t>
      </w:r>
      <w:r w:rsidR="007D081F">
        <w:t>.</w:t>
      </w:r>
    </w:p>
    <w:p w14:paraId="4ADE2FF6" w14:textId="45C4ACCE" w:rsidR="00BC2776" w:rsidRDefault="00BC2776" w:rsidP="005D699C"/>
    <w:p w14:paraId="474452D7" w14:textId="5A730F75" w:rsidR="00A146B1" w:rsidRDefault="00A146B1" w:rsidP="005D699C"/>
    <w:p w14:paraId="1A2EBF34" w14:textId="5734FFFA" w:rsidR="00BC2776" w:rsidRDefault="00BC2776">
      <w:pPr>
        <w:rPr>
          <w:rFonts w:eastAsiaTheme="majorEastAsia" w:cstheme="majorBidi"/>
          <w:b/>
          <w:bCs/>
          <w:sz w:val="28"/>
          <w:szCs w:val="28"/>
        </w:rPr>
      </w:pPr>
      <w:r>
        <w:br w:type="page"/>
      </w:r>
    </w:p>
    <w:p w14:paraId="002E0A60" w14:textId="18EEBF54" w:rsidR="00A146B1" w:rsidRDefault="00A146B1" w:rsidP="00BC2776">
      <w:pPr>
        <w:pStyle w:val="Heading2"/>
      </w:pPr>
      <w:r>
        <w:lastRenderedPageBreak/>
        <w:t>Factor Correlation</w:t>
      </w:r>
    </w:p>
    <w:p w14:paraId="1A05AD3E" w14:textId="01FA138C" w:rsidR="00A146B1" w:rsidRDefault="00CD38C4" w:rsidP="005D699C">
      <w:r>
        <w:t xml:space="preserve">When analysing different defensive factors to consider their ability to generate returns, it is important to understand that the factors being analysed aren’t simply capturing the same effect in the market. This can be quantified by calculating the correlation between the factors. The </w:t>
      </w:r>
      <w:r w:rsidR="008A724E">
        <w:t>Pearson</w:t>
      </w:r>
      <w:r>
        <w:t xml:space="preserve"> correlation between the factors can be seen in table #.</w:t>
      </w:r>
    </w:p>
    <w:tbl>
      <w:tblPr>
        <w:tblStyle w:val="PlainTable3"/>
        <w:tblW w:w="0" w:type="auto"/>
        <w:tblLook w:val="04A0" w:firstRow="1" w:lastRow="0" w:firstColumn="1" w:lastColumn="0" w:noHBand="0" w:noVBand="1"/>
      </w:tblPr>
      <w:tblGrid>
        <w:gridCol w:w="2146"/>
        <w:gridCol w:w="2423"/>
        <w:gridCol w:w="2300"/>
        <w:gridCol w:w="2147"/>
      </w:tblGrid>
      <w:tr w:rsidR="009E0366" w14:paraId="5E925F69" w14:textId="379EAA29" w:rsidTr="00BB1A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46" w:type="dxa"/>
          </w:tcPr>
          <w:p w14:paraId="039AF15B" w14:textId="77777777" w:rsidR="009E0366" w:rsidRDefault="009E0366" w:rsidP="005D699C"/>
        </w:tc>
        <w:tc>
          <w:tcPr>
            <w:tcW w:w="2423" w:type="dxa"/>
          </w:tcPr>
          <w:p w14:paraId="6A29E6FB" w14:textId="1290E79E" w:rsidR="009E0366" w:rsidRDefault="009E0366" w:rsidP="005D699C">
            <w:pPr>
              <w:cnfStyle w:val="100000000000" w:firstRow="1" w:lastRow="0" w:firstColumn="0" w:lastColumn="0" w:oddVBand="0" w:evenVBand="0" w:oddHBand="0" w:evenHBand="0" w:firstRowFirstColumn="0" w:firstRowLastColumn="0" w:lastRowFirstColumn="0" w:lastRowLastColumn="0"/>
            </w:pPr>
            <w:r>
              <w:t>Volatility</w:t>
            </w:r>
          </w:p>
        </w:tc>
        <w:tc>
          <w:tcPr>
            <w:tcW w:w="2300" w:type="dxa"/>
          </w:tcPr>
          <w:p w14:paraId="648F0A7E" w14:textId="25B7EBD9" w:rsidR="009E0366" w:rsidRDefault="009E0366" w:rsidP="005D699C">
            <w:pPr>
              <w:cnfStyle w:val="100000000000" w:firstRow="1" w:lastRow="0" w:firstColumn="0" w:lastColumn="0" w:oddVBand="0" w:evenVBand="0" w:oddHBand="0" w:evenHBand="0" w:firstRowFirstColumn="0" w:firstRowLastColumn="0" w:lastRowFirstColumn="0" w:lastRowLastColumn="0"/>
            </w:pPr>
            <w:r>
              <w:t>Profit</w:t>
            </w:r>
          </w:p>
        </w:tc>
        <w:tc>
          <w:tcPr>
            <w:tcW w:w="2147" w:type="dxa"/>
          </w:tcPr>
          <w:p w14:paraId="5CF2BE8F" w14:textId="34AC4D0B" w:rsidR="009E0366" w:rsidRDefault="009E0366" w:rsidP="005D699C">
            <w:pPr>
              <w:cnfStyle w:val="100000000000" w:firstRow="1" w:lastRow="0" w:firstColumn="0" w:lastColumn="0" w:oddVBand="0" w:evenVBand="0" w:oddHBand="0" w:evenHBand="0" w:firstRowFirstColumn="0" w:firstRowLastColumn="0" w:lastRowFirstColumn="0" w:lastRowLastColumn="0"/>
            </w:pPr>
            <w:r>
              <w:t>Safety</w:t>
            </w:r>
          </w:p>
        </w:tc>
      </w:tr>
      <w:tr w:rsidR="009E0366" w14:paraId="12B117BC" w14:textId="678561B8"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30631E9B" w14:textId="167A0460" w:rsidR="009E0366" w:rsidRDefault="009E0366" w:rsidP="005D699C">
            <w:r>
              <w:t>Volatility</w:t>
            </w:r>
          </w:p>
        </w:tc>
        <w:tc>
          <w:tcPr>
            <w:tcW w:w="2423" w:type="dxa"/>
          </w:tcPr>
          <w:p w14:paraId="6599E384" w14:textId="00156C76" w:rsidR="009E0366" w:rsidRDefault="009E0366" w:rsidP="005D699C">
            <w:pPr>
              <w:cnfStyle w:val="000000100000" w:firstRow="0" w:lastRow="0" w:firstColumn="0" w:lastColumn="0" w:oddVBand="0" w:evenVBand="0" w:oddHBand="1" w:evenHBand="0" w:firstRowFirstColumn="0" w:firstRowLastColumn="0" w:lastRowFirstColumn="0" w:lastRowLastColumn="0"/>
            </w:pPr>
            <w:r>
              <w:t>1</w:t>
            </w:r>
            <w:r w:rsidR="00BB1A7A">
              <w:t>.000</w:t>
            </w:r>
          </w:p>
        </w:tc>
        <w:tc>
          <w:tcPr>
            <w:tcW w:w="2300" w:type="dxa"/>
          </w:tcPr>
          <w:p w14:paraId="5BBA3C88" w14:textId="5472032C" w:rsidR="009E0366" w:rsidRDefault="009E0366" w:rsidP="005D699C">
            <w:pPr>
              <w:cnfStyle w:val="000000100000" w:firstRow="0" w:lastRow="0" w:firstColumn="0" w:lastColumn="0" w:oddVBand="0" w:evenVBand="0" w:oddHBand="1" w:evenHBand="0" w:firstRowFirstColumn="0" w:firstRowLastColumn="0" w:lastRowFirstColumn="0" w:lastRowLastColumn="0"/>
            </w:pPr>
            <w:r>
              <w:t>0.091</w:t>
            </w:r>
          </w:p>
        </w:tc>
        <w:tc>
          <w:tcPr>
            <w:tcW w:w="2147" w:type="dxa"/>
          </w:tcPr>
          <w:p w14:paraId="0302ADA8" w14:textId="3C0C9731" w:rsidR="009E0366" w:rsidRDefault="009E0366" w:rsidP="005D699C">
            <w:pPr>
              <w:cnfStyle w:val="000000100000" w:firstRow="0" w:lastRow="0" w:firstColumn="0" w:lastColumn="0" w:oddVBand="0" w:evenVBand="0" w:oddHBand="1" w:evenHBand="0" w:firstRowFirstColumn="0" w:firstRowLastColumn="0" w:lastRowFirstColumn="0" w:lastRowLastColumn="0"/>
            </w:pPr>
            <w:r>
              <w:t>0.125</w:t>
            </w:r>
          </w:p>
        </w:tc>
      </w:tr>
      <w:tr w:rsidR="009E0366" w14:paraId="3E5EA750" w14:textId="18CCC965" w:rsidTr="00BB1A7A">
        <w:tc>
          <w:tcPr>
            <w:cnfStyle w:val="001000000000" w:firstRow="0" w:lastRow="0" w:firstColumn="1" w:lastColumn="0" w:oddVBand="0" w:evenVBand="0" w:oddHBand="0" w:evenHBand="0" w:firstRowFirstColumn="0" w:firstRowLastColumn="0" w:lastRowFirstColumn="0" w:lastRowLastColumn="0"/>
            <w:tcW w:w="2146" w:type="dxa"/>
          </w:tcPr>
          <w:p w14:paraId="2EE8311C" w14:textId="00C4A95F" w:rsidR="009E0366" w:rsidRDefault="009E0366" w:rsidP="005D699C">
            <w:r>
              <w:t>Profit</w:t>
            </w:r>
          </w:p>
        </w:tc>
        <w:tc>
          <w:tcPr>
            <w:tcW w:w="2423" w:type="dxa"/>
          </w:tcPr>
          <w:p w14:paraId="1CB0C049" w14:textId="4105A88E" w:rsidR="009E0366" w:rsidRDefault="009E0366" w:rsidP="005D699C">
            <w:pPr>
              <w:cnfStyle w:val="000000000000" w:firstRow="0" w:lastRow="0" w:firstColumn="0" w:lastColumn="0" w:oddVBand="0" w:evenVBand="0" w:oddHBand="0" w:evenHBand="0" w:firstRowFirstColumn="0" w:firstRowLastColumn="0" w:lastRowFirstColumn="0" w:lastRowLastColumn="0"/>
            </w:pPr>
            <w:r>
              <w:t>0.091</w:t>
            </w:r>
          </w:p>
        </w:tc>
        <w:tc>
          <w:tcPr>
            <w:tcW w:w="2300" w:type="dxa"/>
          </w:tcPr>
          <w:p w14:paraId="43CD8470" w14:textId="291F6609" w:rsidR="009E0366" w:rsidRDefault="009E0366" w:rsidP="005D699C">
            <w:pPr>
              <w:cnfStyle w:val="000000000000" w:firstRow="0" w:lastRow="0" w:firstColumn="0" w:lastColumn="0" w:oddVBand="0" w:evenVBand="0" w:oddHBand="0" w:evenHBand="0" w:firstRowFirstColumn="0" w:firstRowLastColumn="0" w:lastRowFirstColumn="0" w:lastRowLastColumn="0"/>
            </w:pPr>
            <w:r>
              <w:t>1</w:t>
            </w:r>
            <w:r w:rsidR="00BB1A7A">
              <w:t>.000</w:t>
            </w:r>
          </w:p>
        </w:tc>
        <w:tc>
          <w:tcPr>
            <w:tcW w:w="2147" w:type="dxa"/>
          </w:tcPr>
          <w:p w14:paraId="0356E67D" w14:textId="13500866" w:rsidR="009E0366" w:rsidRDefault="009E0366" w:rsidP="005D699C">
            <w:pPr>
              <w:cnfStyle w:val="000000000000" w:firstRow="0" w:lastRow="0" w:firstColumn="0" w:lastColumn="0" w:oddVBand="0" w:evenVBand="0" w:oddHBand="0" w:evenHBand="0" w:firstRowFirstColumn="0" w:firstRowLastColumn="0" w:lastRowFirstColumn="0" w:lastRowLastColumn="0"/>
            </w:pPr>
            <w:r>
              <w:t>0.424</w:t>
            </w:r>
          </w:p>
        </w:tc>
      </w:tr>
      <w:tr w:rsidR="009E0366" w14:paraId="2E9B9635" w14:textId="77777777"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472BECB5" w14:textId="36B20198" w:rsidR="009E0366" w:rsidRDefault="009E0366" w:rsidP="005D699C">
            <w:r>
              <w:t>Safety</w:t>
            </w:r>
          </w:p>
        </w:tc>
        <w:tc>
          <w:tcPr>
            <w:tcW w:w="2423" w:type="dxa"/>
          </w:tcPr>
          <w:p w14:paraId="7B24C6D3" w14:textId="41579CD3" w:rsidR="009E0366" w:rsidRDefault="009E0366" w:rsidP="005D699C">
            <w:pPr>
              <w:cnfStyle w:val="000000100000" w:firstRow="0" w:lastRow="0" w:firstColumn="0" w:lastColumn="0" w:oddVBand="0" w:evenVBand="0" w:oddHBand="1" w:evenHBand="0" w:firstRowFirstColumn="0" w:firstRowLastColumn="0" w:lastRowFirstColumn="0" w:lastRowLastColumn="0"/>
            </w:pPr>
            <w:r>
              <w:t>0.124</w:t>
            </w:r>
          </w:p>
        </w:tc>
        <w:tc>
          <w:tcPr>
            <w:tcW w:w="2300" w:type="dxa"/>
          </w:tcPr>
          <w:p w14:paraId="4CEC7C25" w14:textId="44818305" w:rsidR="009E0366" w:rsidRDefault="009E0366" w:rsidP="005D699C">
            <w:pPr>
              <w:cnfStyle w:val="000000100000" w:firstRow="0" w:lastRow="0" w:firstColumn="0" w:lastColumn="0" w:oddVBand="0" w:evenVBand="0" w:oddHBand="1" w:evenHBand="0" w:firstRowFirstColumn="0" w:firstRowLastColumn="0" w:lastRowFirstColumn="0" w:lastRowLastColumn="0"/>
            </w:pPr>
            <w:r>
              <w:t>0.424</w:t>
            </w:r>
          </w:p>
        </w:tc>
        <w:tc>
          <w:tcPr>
            <w:tcW w:w="2147" w:type="dxa"/>
          </w:tcPr>
          <w:p w14:paraId="27637C12" w14:textId="7FA9B92F" w:rsidR="009E0366" w:rsidRDefault="009E0366" w:rsidP="005D699C">
            <w:pPr>
              <w:cnfStyle w:val="000000100000" w:firstRow="0" w:lastRow="0" w:firstColumn="0" w:lastColumn="0" w:oddVBand="0" w:evenVBand="0" w:oddHBand="1" w:evenHBand="0" w:firstRowFirstColumn="0" w:firstRowLastColumn="0" w:lastRowFirstColumn="0" w:lastRowLastColumn="0"/>
            </w:pPr>
            <w:r>
              <w:t>1</w:t>
            </w:r>
            <w:r w:rsidR="00BB1A7A">
              <w:t>.000</w:t>
            </w:r>
          </w:p>
        </w:tc>
      </w:tr>
    </w:tbl>
    <w:p w14:paraId="22A5F75D" w14:textId="77777777" w:rsidR="009E0366" w:rsidRDefault="009E0366" w:rsidP="005D699C"/>
    <w:p w14:paraId="5468C61E" w14:textId="7C876188" w:rsidR="00CA7204" w:rsidRDefault="00CA7204" w:rsidP="005D699C">
      <w:r>
        <w:t xml:space="preserve">From the results shown in table # we can see that the </w:t>
      </w:r>
      <w:r w:rsidR="00AE3AB1">
        <w:t>correlation between safety and profit is the strongest at 0.425, whereas the other coefficients are rather minimal.</w:t>
      </w:r>
      <w:r w:rsidR="00A10E6E">
        <w:t xml:space="preserve"> Overall, the correlation between the factors is low </w:t>
      </w:r>
    </w:p>
    <w:p w14:paraId="5D758EE1" w14:textId="76F71349" w:rsidR="00A10E6E" w:rsidRDefault="00A10E6E" w:rsidP="005D699C">
      <w:r>
        <w:t>To understand how this correlation varies over time and correlation of factors affects the correlation of investment returns, figure # was created.</w:t>
      </w:r>
    </w:p>
    <w:p w14:paraId="7D54B366" w14:textId="25D4AEF7" w:rsidR="00A10E6E" w:rsidRDefault="00A10E6E" w:rsidP="005D699C">
      <w:r>
        <w:rPr>
          <w:noProof/>
        </w:rPr>
        <w:drawing>
          <wp:inline distT="0" distB="0" distL="0" distR="0" wp14:anchorId="6B48F752" wp14:editId="4F9FC9E0">
            <wp:extent cx="5731510" cy="2983865"/>
            <wp:effectExtent l="0" t="0" r="2540" b="6985"/>
            <wp:docPr id="1461035115" name="Picture 17" descr="A graph of stock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35115" name="Picture 17" descr="A graph of stock pric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983865"/>
                    </a:xfrm>
                    <a:prstGeom prst="rect">
                      <a:avLst/>
                    </a:prstGeom>
                  </pic:spPr>
                </pic:pic>
              </a:graphicData>
            </a:graphic>
          </wp:inline>
        </w:drawing>
      </w:r>
    </w:p>
    <w:p w14:paraId="1F27B309" w14:textId="66C93269" w:rsidR="005D2B36" w:rsidRPr="005D2B36" w:rsidRDefault="00A10E6E" w:rsidP="005D699C">
      <w:r>
        <w:t>Figure # shows the correlation between the investment returns generated on a portfolio entirely invested in the top quartile of stocks rated by each factor each month. We can see that the correlation is on aggregate higher when comparing the correlation of returns compared to the correlation of scores.</w:t>
      </w:r>
      <w:r w:rsidR="005D2B36">
        <w:br w:type="page"/>
      </w:r>
    </w:p>
    <w:p w14:paraId="3DE7159B" w14:textId="1DD04B4F" w:rsidR="00BE42B0" w:rsidRDefault="002F2E85" w:rsidP="00BE42B0">
      <w:pPr>
        <w:pStyle w:val="Heading1"/>
      </w:pPr>
      <w:bookmarkStart w:id="1" w:name="_Toc210985634"/>
      <w:r>
        <w:lastRenderedPageBreak/>
        <w:t xml:space="preserve">2. </w:t>
      </w:r>
      <w:r w:rsidR="00B5778A">
        <w:t>Effect of Macroeconomic Environment</w:t>
      </w:r>
      <w:bookmarkEnd w:id="1"/>
    </w:p>
    <w:p w14:paraId="416B5B15" w14:textId="57FE4A3A" w:rsidR="00BE42B0" w:rsidRDefault="001F3469" w:rsidP="00BE42B0">
      <w:r>
        <w:t>As factors tends to react differently to different economic environments it is important to understand how factors have been affected in the past. A critical variable to understand the effect of is inflation, which may be particularly poignant for the near future given the current U.S administrations tariff policy placing inflationary on the U.S economy.</w:t>
      </w:r>
    </w:p>
    <w:p w14:paraId="7DCDD083" w14:textId="77CA7949" w:rsidR="00854D1A" w:rsidRDefault="00854D1A" w:rsidP="00BE42B0">
      <w:r>
        <w:t xml:space="preserve">The dataset used for this report was tagged </w:t>
      </w:r>
      <w:r w:rsidR="00A3691D">
        <w:t xml:space="preserve">with an inflationary period. Low inflation was considered as an inflation rate below 1.5%, medium inflation between 1.5% and 3% and high inflation anything above </w:t>
      </w:r>
      <w:r w:rsidR="003F1BF0">
        <w:t>3%</w:t>
      </w:r>
      <w:r w:rsidR="00A3691D">
        <w:t>. Figure # shows when these inflation levels over time.</w:t>
      </w:r>
    </w:p>
    <w:p w14:paraId="4CE38B4B" w14:textId="180015FA" w:rsidR="00A3691D" w:rsidRPr="001F3469" w:rsidRDefault="00A3691D" w:rsidP="00BE42B0">
      <w:r>
        <w:rPr>
          <w:noProof/>
        </w:rPr>
        <w:drawing>
          <wp:inline distT="0" distB="0" distL="0" distR="0" wp14:anchorId="5657D556" wp14:editId="30A4FCC5">
            <wp:extent cx="5731510" cy="3342640"/>
            <wp:effectExtent l="0" t="0" r="2540" b="0"/>
            <wp:docPr id="922940698" name="Picture 18"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698" name="Picture 18" descr="A graph showing the growth of the stock marke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342640"/>
                    </a:xfrm>
                    <a:prstGeom prst="rect">
                      <a:avLst/>
                    </a:prstGeom>
                  </pic:spPr>
                </pic:pic>
              </a:graphicData>
            </a:graphic>
          </wp:inline>
        </w:drawing>
      </w:r>
    </w:p>
    <w:p w14:paraId="39DFD7F4" w14:textId="3844076A" w:rsidR="007B7ED5" w:rsidRDefault="00A3691D" w:rsidP="007B7ED5">
      <w:r>
        <w:t>As can be seen this classification scheme means that the large quantity of recent data is normal level inflation and data before 1997 is largely high inflation, with only small blips of low inflation periods throughout the dataset.</w:t>
      </w:r>
    </w:p>
    <w:p w14:paraId="3AE9400C" w14:textId="19B8F8B9" w:rsidR="008D5C55" w:rsidRDefault="00961DB0" w:rsidP="007B7ED5">
      <w:r>
        <w:t>Identically to section one of this report portfolios of the top quartile of rated stocks each month were constructed and analysed against the dataset, however this was done in relation to</w:t>
      </w:r>
      <w:r w:rsidR="008D5C55">
        <w:t xml:space="preserve"> the inflation regime, and the information ratio of the portfolio calculated. Table x shows the information ratio of each of the regimes the number of samples used to generate that information ratio, the mean monthly return and the t-statistic of that mean monthly return</w:t>
      </w:r>
      <w:r w:rsidR="001E5D29">
        <w:t>.</w:t>
      </w:r>
    </w:p>
    <w:tbl>
      <w:tblPr>
        <w:tblStyle w:val="PlainTable5"/>
        <w:tblW w:w="9072" w:type="dxa"/>
        <w:tblLayout w:type="fixed"/>
        <w:tblLook w:val="04A0" w:firstRow="1" w:lastRow="0" w:firstColumn="1" w:lastColumn="0" w:noHBand="0" w:noVBand="1"/>
      </w:tblPr>
      <w:tblGrid>
        <w:gridCol w:w="1184"/>
        <w:gridCol w:w="1798"/>
        <w:gridCol w:w="1600"/>
        <w:gridCol w:w="2081"/>
        <w:gridCol w:w="2409"/>
      </w:tblGrid>
      <w:tr w:rsidR="00660E2E" w14:paraId="0B87A81B" w14:textId="77777777" w:rsidTr="006F49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84" w:type="dxa"/>
          </w:tcPr>
          <w:p w14:paraId="74572FA6" w14:textId="1D6C42FB" w:rsidR="00660E2E" w:rsidRDefault="00660E2E" w:rsidP="00660E2E">
            <w:pPr>
              <w:jc w:val="center"/>
            </w:pPr>
            <w:r>
              <w:t>Factor</w:t>
            </w:r>
          </w:p>
        </w:tc>
        <w:tc>
          <w:tcPr>
            <w:tcW w:w="1798" w:type="dxa"/>
          </w:tcPr>
          <w:p w14:paraId="0FF28864" w14:textId="74279996"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Inflation State</w:t>
            </w:r>
          </w:p>
        </w:tc>
        <w:tc>
          <w:tcPr>
            <w:tcW w:w="1600" w:type="dxa"/>
          </w:tcPr>
          <w:p w14:paraId="1C50E847" w14:textId="2DD2871F"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Mean annual return</w:t>
            </w:r>
          </w:p>
        </w:tc>
        <w:tc>
          <w:tcPr>
            <w:tcW w:w="2081" w:type="dxa"/>
          </w:tcPr>
          <w:p w14:paraId="66EBAAE1" w14:textId="160353BB"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T-stat of mean return</w:t>
            </w:r>
          </w:p>
        </w:tc>
        <w:tc>
          <w:tcPr>
            <w:tcW w:w="2409" w:type="dxa"/>
          </w:tcPr>
          <w:p w14:paraId="7A0777B1" w14:textId="389D4069"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Information ratio</w:t>
            </w:r>
          </w:p>
        </w:tc>
      </w:tr>
      <w:tr w:rsidR="00660E2E" w14:paraId="65B753C7"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7F7F7F" w:themeColor="text1" w:themeTint="80"/>
              <w:bottom w:val="single" w:sz="4" w:space="0" w:color="auto"/>
            </w:tcBorders>
            <w:vAlign w:val="center"/>
          </w:tcPr>
          <w:p w14:paraId="5D2A20E8" w14:textId="530B4B48" w:rsidR="00660E2E" w:rsidRDefault="00660E2E" w:rsidP="007F6B03">
            <w:pPr>
              <w:jc w:val="center"/>
            </w:pPr>
            <w:r>
              <w:t>Volatility</w:t>
            </w:r>
          </w:p>
        </w:tc>
        <w:tc>
          <w:tcPr>
            <w:tcW w:w="1798" w:type="dxa"/>
            <w:shd w:val="clear" w:color="auto" w:fill="FFFFFF" w:themeFill="background1"/>
          </w:tcPr>
          <w:p w14:paraId="6E48CF60" w14:textId="32BFB8D8" w:rsidR="00660E2E" w:rsidRDefault="00660E2E" w:rsidP="007B7ED5">
            <w:pPr>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4A459688" w14:textId="66D9B062"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-6.32%</w:t>
            </w:r>
          </w:p>
        </w:tc>
        <w:tc>
          <w:tcPr>
            <w:tcW w:w="2081" w:type="dxa"/>
            <w:shd w:val="clear" w:color="auto" w:fill="FFFFFF" w:themeFill="background1"/>
          </w:tcPr>
          <w:p w14:paraId="6AACBDBD" w14:textId="516460D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-1.21</w:t>
            </w:r>
          </w:p>
        </w:tc>
        <w:tc>
          <w:tcPr>
            <w:tcW w:w="2409" w:type="dxa"/>
            <w:shd w:val="clear" w:color="auto" w:fill="FFFFFF" w:themeFill="background1"/>
          </w:tcPr>
          <w:p w14:paraId="7FF7EFCC" w14:textId="2E397158"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-0.87</w:t>
            </w:r>
          </w:p>
        </w:tc>
      </w:tr>
      <w:tr w:rsidR="00660E2E" w14:paraId="3551F5B7"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2C03A2C1" w14:textId="77777777" w:rsidR="00660E2E" w:rsidRDefault="00660E2E" w:rsidP="007F6B03">
            <w:pPr>
              <w:jc w:val="center"/>
            </w:pPr>
          </w:p>
        </w:tc>
        <w:tc>
          <w:tcPr>
            <w:tcW w:w="1798" w:type="dxa"/>
            <w:shd w:val="clear" w:color="auto" w:fill="F2F2F2" w:themeFill="background1" w:themeFillShade="F2"/>
          </w:tcPr>
          <w:p w14:paraId="4515DE12" w14:textId="0C294355" w:rsidR="00660E2E" w:rsidRDefault="00660E2E" w:rsidP="007B7ED5">
            <w:pPr>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455DD09B" w14:textId="6E800132"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5.71%</w:t>
            </w:r>
          </w:p>
        </w:tc>
        <w:tc>
          <w:tcPr>
            <w:tcW w:w="2081" w:type="dxa"/>
            <w:shd w:val="clear" w:color="auto" w:fill="F2F2F2" w:themeFill="background1" w:themeFillShade="F2"/>
          </w:tcPr>
          <w:p w14:paraId="3B18A8F2" w14:textId="6FF3B8EC"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2.67</w:t>
            </w:r>
          </w:p>
        </w:tc>
        <w:tc>
          <w:tcPr>
            <w:tcW w:w="2409" w:type="dxa"/>
            <w:shd w:val="clear" w:color="auto" w:fill="F2F2F2" w:themeFill="background1" w:themeFillShade="F2"/>
          </w:tcPr>
          <w:p w14:paraId="3C160F33" w14:textId="375A1FFD"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0.59</w:t>
            </w:r>
          </w:p>
        </w:tc>
      </w:tr>
      <w:tr w:rsidR="00660E2E" w14:paraId="257C6342"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470A9115" w14:textId="77777777" w:rsidR="00660E2E" w:rsidRDefault="00660E2E" w:rsidP="007F6B03">
            <w:pPr>
              <w:jc w:val="center"/>
            </w:pPr>
          </w:p>
        </w:tc>
        <w:tc>
          <w:tcPr>
            <w:tcW w:w="1798" w:type="dxa"/>
            <w:shd w:val="clear" w:color="auto" w:fill="D9D9D9" w:themeFill="background1" w:themeFillShade="D9"/>
          </w:tcPr>
          <w:p w14:paraId="244C2D52" w14:textId="4C07E4EE" w:rsidR="00660E2E" w:rsidRDefault="00660E2E" w:rsidP="007B7ED5">
            <w:pPr>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7D1C8E31" w14:textId="3FBACF01"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6.04%</w:t>
            </w:r>
          </w:p>
        </w:tc>
        <w:tc>
          <w:tcPr>
            <w:tcW w:w="2081" w:type="dxa"/>
            <w:shd w:val="clear" w:color="auto" w:fill="D9D9D9" w:themeFill="background1" w:themeFillShade="D9"/>
          </w:tcPr>
          <w:p w14:paraId="4B87F9D7" w14:textId="44D5A02E"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3.90</w:t>
            </w:r>
          </w:p>
        </w:tc>
        <w:tc>
          <w:tcPr>
            <w:tcW w:w="2409" w:type="dxa"/>
            <w:shd w:val="clear" w:color="auto" w:fill="D9D9D9" w:themeFill="background1" w:themeFillShade="D9"/>
          </w:tcPr>
          <w:p w14:paraId="3A8899AD" w14:textId="221E28D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0.85</w:t>
            </w:r>
          </w:p>
        </w:tc>
      </w:tr>
      <w:tr w:rsidR="00660E2E" w14:paraId="3F5D35ED"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11C578EB" w14:textId="48A8753E" w:rsidR="00660E2E" w:rsidRDefault="00660E2E" w:rsidP="007F6B03">
            <w:pPr>
              <w:jc w:val="center"/>
            </w:pPr>
            <w:r>
              <w:t>Profit</w:t>
            </w:r>
          </w:p>
        </w:tc>
        <w:tc>
          <w:tcPr>
            <w:tcW w:w="1798" w:type="dxa"/>
          </w:tcPr>
          <w:p w14:paraId="2FF8938C" w14:textId="6E8EAD81" w:rsidR="00660E2E" w:rsidRDefault="00660E2E" w:rsidP="007B7ED5">
            <w:pPr>
              <w:cnfStyle w:val="000000000000" w:firstRow="0" w:lastRow="0" w:firstColumn="0" w:lastColumn="0" w:oddVBand="0" w:evenVBand="0" w:oddHBand="0" w:evenHBand="0" w:firstRowFirstColumn="0" w:firstRowLastColumn="0" w:lastRowFirstColumn="0" w:lastRowLastColumn="0"/>
            </w:pPr>
            <w:r>
              <w:t>Low</w:t>
            </w:r>
          </w:p>
        </w:tc>
        <w:tc>
          <w:tcPr>
            <w:tcW w:w="1600" w:type="dxa"/>
          </w:tcPr>
          <w:p w14:paraId="58682A84" w14:textId="60D33651"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-2.41%</w:t>
            </w:r>
          </w:p>
        </w:tc>
        <w:tc>
          <w:tcPr>
            <w:tcW w:w="2081" w:type="dxa"/>
          </w:tcPr>
          <w:p w14:paraId="2F33F1BB" w14:textId="238889C8"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-0.89</w:t>
            </w:r>
          </w:p>
        </w:tc>
        <w:tc>
          <w:tcPr>
            <w:tcW w:w="2409" w:type="dxa"/>
          </w:tcPr>
          <w:p w14:paraId="76CD5C5C" w14:textId="07ABB95A"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-0.65</w:t>
            </w:r>
          </w:p>
        </w:tc>
      </w:tr>
      <w:tr w:rsidR="00660E2E" w14:paraId="2EF128E0"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5DE35147" w14:textId="77777777" w:rsidR="00660E2E" w:rsidRDefault="00660E2E" w:rsidP="007F6B03">
            <w:pPr>
              <w:jc w:val="center"/>
            </w:pPr>
          </w:p>
        </w:tc>
        <w:tc>
          <w:tcPr>
            <w:tcW w:w="1798" w:type="dxa"/>
          </w:tcPr>
          <w:p w14:paraId="75EA8C5A" w14:textId="4851942B" w:rsidR="00660E2E" w:rsidRDefault="00660E2E" w:rsidP="007B7ED5">
            <w:pPr>
              <w:cnfStyle w:val="000000100000" w:firstRow="0" w:lastRow="0" w:firstColumn="0" w:lastColumn="0" w:oddVBand="0" w:evenVBand="0" w:oddHBand="1" w:evenHBand="0" w:firstRowFirstColumn="0" w:firstRowLastColumn="0" w:lastRowFirstColumn="0" w:lastRowLastColumn="0"/>
            </w:pPr>
            <w:r>
              <w:t>Medium</w:t>
            </w:r>
          </w:p>
        </w:tc>
        <w:tc>
          <w:tcPr>
            <w:tcW w:w="1600" w:type="dxa"/>
          </w:tcPr>
          <w:p w14:paraId="133BF294" w14:textId="2CAC8FDD"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3.73%</w:t>
            </w:r>
          </w:p>
        </w:tc>
        <w:tc>
          <w:tcPr>
            <w:tcW w:w="2081" w:type="dxa"/>
          </w:tcPr>
          <w:p w14:paraId="7DD5E3BD" w14:textId="0057302D"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4.30</w:t>
            </w:r>
          </w:p>
        </w:tc>
        <w:tc>
          <w:tcPr>
            <w:tcW w:w="2409" w:type="dxa"/>
          </w:tcPr>
          <w:p w14:paraId="118ED0E9" w14:textId="29B785CB"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0.94</w:t>
            </w:r>
          </w:p>
        </w:tc>
      </w:tr>
      <w:tr w:rsidR="00660E2E" w14:paraId="3C947EA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6C26709F" w14:textId="77777777" w:rsidR="00660E2E" w:rsidRDefault="00660E2E" w:rsidP="007F6B03">
            <w:pPr>
              <w:jc w:val="center"/>
            </w:pPr>
          </w:p>
        </w:tc>
        <w:tc>
          <w:tcPr>
            <w:tcW w:w="1798" w:type="dxa"/>
            <w:shd w:val="clear" w:color="auto" w:fill="D9D9D9" w:themeFill="background1" w:themeFillShade="D9"/>
          </w:tcPr>
          <w:p w14:paraId="74B9F5FC" w14:textId="6ADB1EFC" w:rsidR="00660E2E" w:rsidRDefault="00660E2E" w:rsidP="007B7ED5">
            <w:pPr>
              <w:cnfStyle w:val="000000000000" w:firstRow="0" w:lastRow="0" w:firstColumn="0" w:lastColumn="0" w:oddVBand="0" w:evenVBand="0" w:oddHBand="0" w:evenHBand="0" w:firstRowFirstColumn="0" w:firstRowLastColumn="0" w:lastRowFirstColumn="0" w:lastRowLastColumn="0"/>
            </w:pPr>
            <w:r>
              <w:t>High</w:t>
            </w:r>
          </w:p>
        </w:tc>
        <w:tc>
          <w:tcPr>
            <w:tcW w:w="1600" w:type="dxa"/>
            <w:shd w:val="clear" w:color="auto" w:fill="D9D9D9" w:themeFill="background1" w:themeFillShade="D9"/>
          </w:tcPr>
          <w:p w14:paraId="3D9A6C16" w14:textId="7317E487"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5.25%</w:t>
            </w:r>
          </w:p>
        </w:tc>
        <w:tc>
          <w:tcPr>
            <w:tcW w:w="2081" w:type="dxa"/>
            <w:shd w:val="clear" w:color="auto" w:fill="D9D9D9" w:themeFill="background1" w:themeFillShade="D9"/>
          </w:tcPr>
          <w:p w14:paraId="68316B0C" w14:textId="48C457DB"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7.37</w:t>
            </w:r>
          </w:p>
        </w:tc>
        <w:tc>
          <w:tcPr>
            <w:tcW w:w="2409" w:type="dxa"/>
            <w:shd w:val="clear" w:color="auto" w:fill="D9D9D9" w:themeFill="background1" w:themeFillShade="D9"/>
          </w:tcPr>
          <w:p w14:paraId="4AE48A25" w14:textId="5E2B5821"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1.60</w:t>
            </w:r>
          </w:p>
        </w:tc>
      </w:tr>
      <w:tr w:rsidR="00660E2E" w14:paraId="22546C84"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4516A247" w14:textId="26ADEE02" w:rsidR="00660E2E" w:rsidRDefault="00660E2E" w:rsidP="007F6B03">
            <w:pPr>
              <w:jc w:val="center"/>
            </w:pPr>
            <w:r>
              <w:t>Safety</w:t>
            </w:r>
          </w:p>
        </w:tc>
        <w:tc>
          <w:tcPr>
            <w:tcW w:w="1798" w:type="dxa"/>
            <w:shd w:val="clear" w:color="auto" w:fill="FFFFFF" w:themeFill="background1"/>
          </w:tcPr>
          <w:p w14:paraId="27CC15B4" w14:textId="1EAEA322" w:rsidR="00660E2E" w:rsidRDefault="00660E2E" w:rsidP="007F6B03">
            <w:pPr>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73D418AF" w14:textId="59BBBC8D"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-2.99%</w:t>
            </w:r>
          </w:p>
        </w:tc>
        <w:tc>
          <w:tcPr>
            <w:tcW w:w="2081" w:type="dxa"/>
            <w:shd w:val="clear" w:color="auto" w:fill="FFFFFF" w:themeFill="background1"/>
          </w:tcPr>
          <w:p w14:paraId="2AC3F90C" w14:textId="5602A90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-0.75</w:t>
            </w:r>
          </w:p>
        </w:tc>
        <w:tc>
          <w:tcPr>
            <w:tcW w:w="2409" w:type="dxa"/>
            <w:shd w:val="clear" w:color="auto" w:fill="FFFFFF" w:themeFill="background1"/>
          </w:tcPr>
          <w:p w14:paraId="3B36046C" w14:textId="48D0C739"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-0.55</w:t>
            </w:r>
          </w:p>
        </w:tc>
      </w:tr>
      <w:tr w:rsidR="00660E2E" w14:paraId="3F693F0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2D44F285" w14:textId="77777777" w:rsidR="00660E2E" w:rsidRDefault="00660E2E" w:rsidP="007F6B03"/>
        </w:tc>
        <w:tc>
          <w:tcPr>
            <w:tcW w:w="1798" w:type="dxa"/>
            <w:shd w:val="clear" w:color="auto" w:fill="F2F2F2" w:themeFill="background1" w:themeFillShade="F2"/>
          </w:tcPr>
          <w:p w14:paraId="49189AED" w14:textId="3CDB775B" w:rsidR="00660E2E" w:rsidRDefault="00660E2E" w:rsidP="007F6B03">
            <w:pPr>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2053BC2D" w14:textId="76A707AD"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3.47%</w:t>
            </w:r>
          </w:p>
        </w:tc>
        <w:tc>
          <w:tcPr>
            <w:tcW w:w="2081" w:type="dxa"/>
            <w:shd w:val="clear" w:color="auto" w:fill="F2F2F2" w:themeFill="background1" w:themeFillShade="F2"/>
          </w:tcPr>
          <w:p w14:paraId="4766D786" w14:textId="4486658D"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2.66</w:t>
            </w:r>
          </w:p>
        </w:tc>
        <w:tc>
          <w:tcPr>
            <w:tcW w:w="2409" w:type="dxa"/>
            <w:shd w:val="clear" w:color="auto" w:fill="F2F2F2" w:themeFill="background1" w:themeFillShade="F2"/>
          </w:tcPr>
          <w:p w14:paraId="4F670CF7" w14:textId="30299219"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0.58</w:t>
            </w:r>
          </w:p>
        </w:tc>
      </w:tr>
      <w:tr w:rsidR="00660E2E" w14:paraId="09A7CCF8"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40C8DCF7" w14:textId="77777777" w:rsidR="00660E2E" w:rsidRDefault="00660E2E" w:rsidP="007F6B03"/>
        </w:tc>
        <w:tc>
          <w:tcPr>
            <w:tcW w:w="1798" w:type="dxa"/>
            <w:shd w:val="clear" w:color="auto" w:fill="D9D9D9" w:themeFill="background1" w:themeFillShade="D9"/>
          </w:tcPr>
          <w:p w14:paraId="1BD3D028" w14:textId="03F0D543" w:rsidR="00660E2E" w:rsidRDefault="00660E2E" w:rsidP="007F6B03">
            <w:pPr>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25524829" w14:textId="00DE62C6"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4.63%</w:t>
            </w:r>
          </w:p>
        </w:tc>
        <w:tc>
          <w:tcPr>
            <w:tcW w:w="2081" w:type="dxa"/>
            <w:shd w:val="clear" w:color="auto" w:fill="D9D9D9" w:themeFill="background1" w:themeFillShade="D9"/>
          </w:tcPr>
          <w:p w14:paraId="60A723A9" w14:textId="616C82BE"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5.18</w:t>
            </w:r>
          </w:p>
        </w:tc>
        <w:tc>
          <w:tcPr>
            <w:tcW w:w="2409" w:type="dxa"/>
            <w:shd w:val="clear" w:color="auto" w:fill="D9D9D9" w:themeFill="background1" w:themeFillShade="D9"/>
          </w:tcPr>
          <w:p w14:paraId="070FF146" w14:textId="5266953F"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1.13</w:t>
            </w:r>
          </w:p>
        </w:tc>
      </w:tr>
    </w:tbl>
    <w:p w14:paraId="58E81C26" w14:textId="77777777" w:rsidR="008D5C55" w:rsidRDefault="008D5C55" w:rsidP="007B7ED5"/>
    <w:p w14:paraId="1FD4299F" w14:textId="2322D5AE" w:rsidR="00B94484" w:rsidRDefault="00924F07" w:rsidP="007B7ED5">
      <w:r>
        <w:lastRenderedPageBreak/>
        <w:t xml:space="preserve">Table # shows some interesting results, the mean annual return </w:t>
      </w:r>
      <w:r w:rsidR="00A84007">
        <w:t xml:space="preserve">with the </w:t>
      </w:r>
      <w:r w:rsidR="00A84007">
        <w:t xml:space="preserve">largest magnitude </w:t>
      </w:r>
      <w:r>
        <w:t>is Volatility in low inflation environments performing very poorly. This case in particular is a good example of the limited low inflation data. There are only 23 monthly datapoints within the low inflation regime, which means that this datapoint is for the most part saying that the low volatility factor performed poorly in ~2010-2012, which has a high likelihood of being a correlation rather than a causal relationship.</w:t>
      </w:r>
      <w:r w:rsidR="00B94484">
        <w:t xml:space="preserve"> Additionally, this is a very short period of time, </w:t>
      </w:r>
      <w:r w:rsidR="00A04339">
        <w:t>which is</w:t>
      </w:r>
      <w:r>
        <w:t xml:space="preserve"> why the T-stat column of table # has been included, which shows the statistical significance of the mean, anything below </w:t>
      </w:r>
      <w:r w:rsidR="00570D1C">
        <w:t>|2| is generally considered insignificant and anything above |3| is considered significant.</w:t>
      </w:r>
    </w:p>
    <w:p w14:paraId="5D189EE1" w14:textId="6C33E335" w:rsidR="00924F07" w:rsidRPr="006F49AA" w:rsidRDefault="00B94484" w:rsidP="007B7ED5">
      <w:r>
        <w:t xml:space="preserve">The trend which can be seen in table # is the high inflation regime shows strong performance </w:t>
      </w:r>
      <w:r w:rsidR="00EB7E32">
        <w:t>across all</w:t>
      </w:r>
      <w:r>
        <w:t xml:space="preserve"> the defensive factors. This must also be taken with a grain of salt as mentioned above, the high inflation regime is mostly from</w:t>
      </w:r>
      <w:r w:rsidR="00D909BC">
        <w:t xml:space="preserve"> approximately</w:t>
      </w:r>
      <w:r>
        <w:t xml:space="preserve"> 1983-1997, and </w:t>
      </w:r>
      <w:r w:rsidR="00B34085">
        <w:t>2022-2023</w:t>
      </w:r>
      <w:r w:rsidR="00BB2097">
        <w:t>. This means that these results could mean that these factors perform well in a high inflation economic environment, or that these factors are good predictors in the 20</w:t>
      </w:r>
      <w:r w:rsidR="00BB2097" w:rsidRPr="00BB2097">
        <w:rPr>
          <w:vertAlign w:val="superscript"/>
        </w:rPr>
        <w:t>th</w:t>
      </w:r>
      <w:r w:rsidR="00BB2097">
        <w:t xml:space="preserve"> century</w:t>
      </w:r>
      <w:r w:rsidR="00A84007">
        <w:t xml:space="preserve"> and the relationship with inflation is not causal</w:t>
      </w:r>
      <w:r w:rsidR="00044F2D">
        <w:t>.</w:t>
      </w:r>
      <w:r w:rsidR="00A04339">
        <w:t xml:space="preserve"> </w:t>
      </w:r>
      <w:r w:rsidR="00B61ECE" w:rsidRPr="00B61ECE">
        <w:t xml:space="preserve">McLean </w:t>
      </w:r>
      <w:r w:rsidR="00B61ECE">
        <w:t xml:space="preserve">and </w:t>
      </w:r>
      <w:r w:rsidR="00B61ECE" w:rsidRPr="00B61ECE">
        <w:t xml:space="preserve">Pontiff </w:t>
      </w:r>
      <w:r w:rsidR="00B61ECE">
        <w:t>(</w:t>
      </w:r>
      <w:r w:rsidR="00B61ECE" w:rsidRPr="00B61ECE">
        <w:t>2016</w:t>
      </w:r>
      <w:r w:rsidR="00B61ECE">
        <w:t>) proved that variables which predict return suffer a statistically significant decline in performance after publication, which may explain these results</w:t>
      </w:r>
      <w:r w:rsidR="00937781">
        <w:t xml:space="preserve">. The overperformance of low volatility has been academically </w:t>
      </w:r>
      <w:r w:rsidR="006F49AA">
        <w:t xml:space="preserve">recognised since 1972 when Haugen and Heinz (1972) showed that less volatile stocks had consistently outperformed more volatile stocks from 1929 till 1971. </w:t>
      </w:r>
      <w:r w:rsidR="00D909BC">
        <w:t>However,</w:t>
      </w:r>
      <w:r w:rsidR="006F49AA">
        <w:t xml:space="preserve"> it wasn’t until Fama and French</w:t>
      </w:r>
      <w:r w:rsidR="00D909BC">
        <w:t>’s</w:t>
      </w:r>
      <w:r w:rsidR="006F49AA">
        <w:t xml:space="preserve"> (1992, 1993, 1996) influential papers that these factors were more broadly understood and more effectively priced in.</w:t>
      </w:r>
      <w:r w:rsidR="00541FF2">
        <w:t xml:space="preserve"> If these factors are more effectively priced in around the 1990’s this would explain the results found in table #.</w:t>
      </w:r>
    </w:p>
    <w:p w14:paraId="658C8D74" w14:textId="77777777" w:rsidR="005D2B36" w:rsidRPr="005D2B36" w:rsidRDefault="005D2B36" w:rsidP="005D2B36"/>
    <w:p w14:paraId="24D68DAF" w14:textId="0F8F983F" w:rsidR="005D2B36" w:rsidRDefault="005D2B36">
      <w:pPr>
        <w:rPr>
          <w:rFonts w:asciiTheme="majorHAnsi" w:eastAsiaTheme="majorEastAsia" w:hAnsiTheme="majorHAnsi" w:cstheme="majorBidi"/>
          <w:b/>
          <w:bCs/>
          <w:caps/>
          <w:spacing w:val="4"/>
          <w:sz w:val="28"/>
          <w:szCs w:val="28"/>
        </w:rPr>
      </w:pPr>
      <w:r>
        <w:br w:type="page"/>
      </w:r>
    </w:p>
    <w:p w14:paraId="6CFED4B7" w14:textId="708C5646" w:rsidR="007B7ED5" w:rsidRDefault="002F2E85" w:rsidP="004F3DAC">
      <w:pPr>
        <w:pStyle w:val="Heading1"/>
      </w:pPr>
      <w:bookmarkStart w:id="2" w:name="_Toc210985635"/>
      <w:r>
        <w:lastRenderedPageBreak/>
        <w:t xml:space="preserve">3. </w:t>
      </w:r>
      <w:r w:rsidR="00B5778A">
        <w:t>Back</w:t>
      </w:r>
      <w:bookmarkEnd w:id="2"/>
      <w:r w:rsidR="00AF305A">
        <w:t>testing</w:t>
      </w:r>
    </w:p>
    <w:p w14:paraId="4EC350BE" w14:textId="139ADEB3" w:rsidR="007B7ED5" w:rsidRDefault="00AF305A" w:rsidP="007B7ED5">
      <w:r>
        <w:t xml:space="preserve">An investment strategy has been constructed around each individual </w:t>
      </w:r>
      <w:r w:rsidR="0005153E">
        <w:t>factor,</w:t>
      </w:r>
      <w:r>
        <w:t xml:space="preserve"> and the three defensive factors have been backtested from January 1990 till December 2023. The strategy invests</w:t>
      </w:r>
      <w:r w:rsidR="007811ED">
        <w:t xml:space="preserve"> equally</w:t>
      </w:r>
      <w:r>
        <w:t xml:space="preserve"> in the top 300 stocks based on the individual factor score, rebalances monthly and assumes 0.15% round tip transaction costs.</w:t>
      </w:r>
    </w:p>
    <w:tbl>
      <w:tblPr>
        <w:tblStyle w:val="PlainTable5"/>
        <w:tblW w:w="7366" w:type="dxa"/>
        <w:tblInd w:w="835" w:type="dxa"/>
        <w:tblLayout w:type="fixed"/>
        <w:tblLook w:val="04A0" w:firstRow="1" w:lastRow="0" w:firstColumn="1" w:lastColumn="0" w:noHBand="0" w:noVBand="1"/>
      </w:tblPr>
      <w:tblGrid>
        <w:gridCol w:w="2122"/>
        <w:gridCol w:w="1417"/>
        <w:gridCol w:w="1276"/>
        <w:gridCol w:w="1276"/>
        <w:gridCol w:w="1275"/>
      </w:tblGrid>
      <w:tr w:rsidR="00571499" w14:paraId="53B760BF" w14:textId="77777777" w:rsidTr="007811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5EB292DE" w14:textId="77777777" w:rsidR="00571499" w:rsidRDefault="00571499" w:rsidP="007B7ED5"/>
        </w:tc>
        <w:tc>
          <w:tcPr>
            <w:tcW w:w="1417" w:type="dxa"/>
          </w:tcPr>
          <w:p w14:paraId="406CB059" w14:textId="35828524"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Benchmark</w:t>
            </w:r>
          </w:p>
        </w:tc>
        <w:tc>
          <w:tcPr>
            <w:tcW w:w="1276" w:type="dxa"/>
          </w:tcPr>
          <w:p w14:paraId="03B942F1" w14:textId="7F56CFBE"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Volatility</w:t>
            </w:r>
          </w:p>
        </w:tc>
        <w:tc>
          <w:tcPr>
            <w:tcW w:w="1276" w:type="dxa"/>
          </w:tcPr>
          <w:p w14:paraId="7549C76D" w14:textId="348679F5"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Safety</w:t>
            </w:r>
          </w:p>
        </w:tc>
        <w:tc>
          <w:tcPr>
            <w:tcW w:w="1275" w:type="dxa"/>
          </w:tcPr>
          <w:p w14:paraId="2A74A36D" w14:textId="01F78F60"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Profit</w:t>
            </w:r>
          </w:p>
        </w:tc>
      </w:tr>
      <w:tr w:rsidR="00571499" w14:paraId="2E28A21F"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D07527C" w14:textId="593DB716" w:rsidR="00571499" w:rsidRPr="007811ED" w:rsidRDefault="00C42042" w:rsidP="007B7ED5">
            <w:pPr>
              <w:rPr>
                <w:sz w:val="22"/>
                <w:szCs w:val="18"/>
              </w:rPr>
            </w:pPr>
            <w:r w:rsidRPr="007811ED">
              <w:rPr>
                <w:sz w:val="22"/>
                <w:szCs w:val="18"/>
              </w:rPr>
              <w:t>Mean Return</w:t>
            </w:r>
          </w:p>
        </w:tc>
        <w:tc>
          <w:tcPr>
            <w:tcW w:w="1417" w:type="dxa"/>
          </w:tcPr>
          <w:p w14:paraId="78BB1823" w14:textId="28E3089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20</w:t>
            </w:r>
            <w:r w:rsidR="007811ED">
              <w:t>%</w:t>
            </w:r>
          </w:p>
        </w:tc>
        <w:tc>
          <w:tcPr>
            <w:tcW w:w="1276" w:type="dxa"/>
          </w:tcPr>
          <w:p w14:paraId="5CF42361" w14:textId="0BC8BAB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w:t>
            </w:r>
            <w:r w:rsidR="00A5764D">
              <w:t>.</w:t>
            </w:r>
            <w:r>
              <w:t>94</w:t>
            </w:r>
            <w:r w:rsidR="007811ED">
              <w:t>%</w:t>
            </w:r>
          </w:p>
        </w:tc>
        <w:tc>
          <w:tcPr>
            <w:tcW w:w="1276" w:type="dxa"/>
          </w:tcPr>
          <w:p w14:paraId="1CFE3341" w14:textId="41AFAE9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w:t>
            </w:r>
            <w:r w:rsidR="00A5764D">
              <w:t>.</w:t>
            </w:r>
            <w:r>
              <w:t>85</w:t>
            </w:r>
            <w:r w:rsidR="007811ED">
              <w:t>%</w:t>
            </w:r>
          </w:p>
        </w:tc>
        <w:tc>
          <w:tcPr>
            <w:tcW w:w="1275" w:type="dxa"/>
          </w:tcPr>
          <w:p w14:paraId="5F01177B" w14:textId="5D49CB3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w:t>
            </w:r>
            <w:r w:rsidR="00A5764D">
              <w:t>.</w:t>
            </w:r>
            <w:r>
              <w:t>63</w:t>
            </w:r>
            <w:r w:rsidR="007811ED">
              <w:t>%</w:t>
            </w:r>
          </w:p>
        </w:tc>
      </w:tr>
      <w:tr w:rsidR="00571499" w14:paraId="6805502D"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67E05102" w14:textId="55689985" w:rsidR="00571499" w:rsidRPr="007811ED" w:rsidRDefault="00C42042" w:rsidP="007B7ED5">
            <w:pPr>
              <w:rPr>
                <w:sz w:val="22"/>
                <w:szCs w:val="18"/>
              </w:rPr>
            </w:pPr>
            <w:r w:rsidRPr="007811ED">
              <w:rPr>
                <w:sz w:val="22"/>
                <w:szCs w:val="18"/>
              </w:rPr>
              <w:t>Standard Deviation</w:t>
            </w:r>
          </w:p>
        </w:tc>
        <w:tc>
          <w:tcPr>
            <w:tcW w:w="1417" w:type="dxa"/>
          </w:tcPr>
          <w:p w14:paraId="79BF25D2" w14:textId="6C2296DD"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14</w:t>
            </w:r>
            <w:r w:rsidR="00A5764D">
              <w:t>.</w:t>
            </w:r>
            <w:r>
              <w:t>10</w:t>
            </w:r>
            <w:r w:rsidR="007811ED">
              <w:t>%</w:t>
            </w:r>
          </w:p>
        </w:tc>
        <w:tc>
          <w:tcPr>
            <w:tcW w:w="1276" w:type="dxa"/>
          </w:tcPr>
          <w:p w14:paraId="23909A16" w14:textId="6D8D988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4</w:t>
            </w:r>
            <w:r w:rsidR="00A5764D">
              <w:t>.</w:t>
            </w:r>
            <w:r>
              <w:t>50</w:t>
            </w:r>
            <w:r w:rsidR="007811ED">
              <w:t>%</w:t>
            </w:r>
          </w:p>
        </w:tc>
        <w:tc>
          <w:tcPr>
            <w:tcW w:w="1276" w:type="dxa"/>
          </w:tcPr>
          <w:p w14:paraId="7D740818" w14:textId="28E4D35E"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w:t>
            </w:r>
            <w:r w:rsidR="00A5764D">
              <w:t>.</w:t>
            </w:r>
            <w:r>
              <w:t>30</w:t>
            </w:r>
            <w:r w:rsidR="007811ED">
              <w:t>%</w:t>
            </w:r>
          </w:p>
        </w:tc>
        <w:tc>
          <w:tcPr>
            <w:tcW w:w="1275" w:type="dxa"/>
          </w:tcPr>
          <w:p w14:paraId="67677335" w14:textId="220EB28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04</w:t>
            </w:r>
            <w:r w:rsidR="00A5764D">
              <w:t>.</w:t>
            </w:r>
            <w:r>
              <w:t>33</w:t>
            </w:r>
            <w:r w:rsidR="007811ED">
              <w:t>%</w:t>
            </w:r>
          </w:p>
        </w:tc>
      </w:tr>
      <w:tr w:rsidR="00571499" w14:paraId="468DB3EB"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EE1CB1B" w14:textId="390802CC" w:rsidR="00571499" w:rsidRPr="007811ED" w:rsidRDefault="00C42042" w:rsidP="007B7ED5">
            <w:pPr>
              <w:rPr>
                <w:sz w:val="22"/>
                <w:szCs w:val="18"/>
              </w:rPr>
            </w:pPr>
            <w:r w:rsidRPr="007811ED">
              <w:rPr>
                <w:sz w:val="22"/>
                <w:szCs w:val="18"/>
              </w:rPr>
              <w:t>Risk Reward Ratio</w:t>
            </w:r>
          </w:p>
        </w:tc>
        <w:tc>
          <w:tcPr>
            <w:tcW w:w="1417" w:type="dxa"/>
          </w:tcPr>
          <w:p w14:paraId="6509321B" w14:textId="2C46373B"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0.5105</w:t>
            </w:r>
          </w:p>
        </w:tc>
        <w:tc>
          <w:tcPr>
            <w:tcW w:w="1276" w:type="dxa"/>
          </w:tcPr>
          <w:p w14:paraId="27398ED8" w14:textId="740F0EB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0.1947</w:t>
            </w:r>
          </w:p>
        </w:tc>
        <w:tc>
          <w:tcPr>
            <w:tcW w:w="1276" w:type="dxa"/>
          </w:tcPr>
          <w:p w14:paraId="6629CB9C" w14:textId="782E36F6"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0.1598</w:t>
            </w:r>
          </w:p>
        </w:tc>
        <w:tc>
          <w:tcPr>
            <w:tcW w:w="1275" w:type="dxa"/>
          </w:tcPr>
          <w:p w14:paraId="6C750306" w14:textId="3F931FF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0.3764</w:t>
            </w:r>
          </w:p>
        </w:tc>
      </w:tr>
      <w:tr w:rsidR="00571499" w14:paraId="02DAD82A"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453C1CC8" w14:textId="1BDC5E9D" w:rsidR="00571499" w:rsidRPr="007811ED" w:rsidRDefault="00C42042" w:rsidP="007B7ED5">
            <w:pPr>
              <w:rPr>
                <w:sz w:val="22"/>
                <w:szCs w:val="18"/>
              </w:rPr>
            </w:pPr>
            <w:r w:rsidRPr="007811ED">
              <w:rPr>
                <w:sz w:val="22"/>
                <w:szCs w:val="18"/>
              </w:rPr>
              <w:t>% Positive</w:t>
            </w:r>
          </w:p>
        </w:tc>
        <w:tc>
          <w:tcPr>
            <w:tcW w:w="1417" w:type="dxa"/>
          </w:tcPr>
          <w:p w14:paraId="629394FF" w14:textId="0602924D"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63</w:t>
            </w:r>
            <w:r w:rsidR="00A5764D">
              <w:t>.</w:t>
            </w:r>
            <w:r>
              <w:t>48</w:t>
            </w:r>
            <w:r w:rsidR="007811ED">
              <w:t>%</w:t>
            </w:r>
          </w:p>
        </w:tc>
        <w:tc>
          <w:tcPr>
            <w:tcW w:w="1276" w:type="dxa"/>
          </w:tcPr>
          <w:p w14:paraId="2E28F967" w14:textId="2BB34AB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50</w:t>
            </w:r>
            <w:r w:rsidR="00A5764D">
              <w:t>.</w:t>
            </w:r>
            <w:r>
              <w:t>25</w:t>
            </w:r>
            <w:r w:rsidR="007811ED">
              <w:t>%</w:t>
            </w:r>
          </w:p>
        </w:tc>
        <w:tc>
          <w:tcPr>
            <w:tcW w:w="1276" w:type="dxa"/>
          </w:tcPr>
          <w:p w14:paraId="74F4A89A" w14:textId="184752C3"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50</w:t>
            </w:r>
            <w:r w:rsidR="00A5764D">
              <w:t>.</w:t>
            </w:r>
            <w:r>
              <w:t>74</w:t>
            </w:r>
            <w:r w:rsidR="007811ED">
              <w:t>%</w:t>
            </w:r>
          </w:p>
        </w:tc>
        <w:tc>
          <w:tcPr>
            <w:tcW w:w="1275" w:type="dxa"/>
          </w:tcPr>
          <w:p w14:paraId="68F50105" w14:textId="033EC05C"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52</w:t>
            </w:r>
            <w:r w:rsidR="00A5764D">
              <w:t>.</w:t>
            </w:r>
            <w:r>
              <w:t>94</w:t>
            </w:r>
            <w:r w:rsidR="007811ED">
              <w:t>%</w:t>
            </w:r>
          </w:p>
        </w:tc>
      </w:tr>
      <w:tr w:rsidR="00571499" w14:paraId="6F61508D"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A378D5" w14:textId="1524EBE8" w:rsidR="00571499" w:rsidRPr="007811ED" w:rsidRDefault="00C42042" w:rsidP="007B7ED5">
            <w:pPr>
              <w:rPr>
                <w:sz w:val="22"/>
                <w:szCs w:val="18"/>
              </w:rPr>
            </w:pPr>
            <w:r w:rsidRPr="007811ED">
              <w:rPr>
                <w:sz w:val="22"/>
                <w:szCs w:val="18"/>
              </w:rPr>
              <w:t>Worst Month</w:t>
            </w:r>
          </w:p>
        </w:tc>
        <w:tc>
          <w:tcPr>
            <w:tcW w:w="1417" w:type="dxa"/>
          </w:tcPr>
          <w:p w14:paraId="57F57511" w14:textId="196641C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-18</w:t>
            </w:r>
            <w:r w:rsidR="00A5764D">
              <w:t>.</w:t>
            </w:r>
            <w:r>
              <w:t>63</w:t>
            </w:r>
            <w:r w:rsidR="007811ED">
              <w:t>%</w:t>
            </w:r>
          </w:p>
        </w:tc>
        <w:tc>
          <w:tcPr>
            <w:tcW w:w="1276" w:type="dxa"/>
          </w:tcPr>
          <w:p w14:paraId="3A5F585A" w14:textId="0824F193"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05</w:t>
            </w:r>
            <w:r w:rsidR="007811ED">
              <w:t>%</w:t>
            </w:r>
          </w:p>
        </w:tc>
        <w:tc>
          <w:tcPr>
            <w:tcW w:w="1276" w:type="dxa"/>
          </w:tcPr>
          <w:p w14:paraId="76CD3E6C" w14:textId="155FE777"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52</w:t>
            </w:r>
            <w:r w:rsidR="007811ED">
              <w:t>%</w:t>
            </w:r>
          </w:p>
        </w:tc>
        <w:tc>
          <w:tcPr>
            <w:tcW w:w="1275" w:type="dxa"/>
          </w:tcPr>
          <w:p w14:paraId="3AE0AB3F" w14:textId="3AD2278E"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-3</w:t>
            </w:r>
            <w:r w:rsidR="00A5764D">
              <w:t>.</w:t>
            </w:r>
            <w:r>
              <w:t>99</w:t>
            </w:r>
            <w:r w:rsidR="007811ED">
              <w:t>%</w:t>
            </w:r>
          </w:p>
        </w:tc>
      </w:tr>
      <w:tr w:rsidR="00571499" w14:paraId="12B9CFA7"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035C151B" w14:textId="31FF3905" w:rsidR="00571499" w:rsidRPr="007811ED" w:rsidRDefault="00C42042" w:rsidP="007B7ED5">
            <w:pPr>
              <w:rPr>
                <w:sz w:val="22"/>
                <w:szCs w:val="18"/>
              </w:rPr>
            </w:pPr>
            <w:r w:rsidRPr="007811ED">
              <w:rPr>
                <w:sz w:val="22"/>
                <w:szCs w:val="18"/>
              </w:rPr>
              <w:t>Best Month</w:t>
            </w:r>
          </w:p>
        </w:tc>
        <w:tc>
          <w:tcPr>
            <w:tcW w:w="1417" w:type="dxa"/>
          </w:tcPr>
          <w:p w14:paraId="4E334FF9" w14:textId="02F5ECD4"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10</w:t>
            </w:r>
            <w:r w:rsidR="00A5764D">
              <w:t>.</w:t>
            </w:r>
            <w:r>
              <w:t>94</w:t>
            </w:r>
            <w:r w:rsidR="007811ED">
              <w:t>%</w:t>
            </w:r>
          </w:p>
        </w:tc>
        <w:tc>
          <w:tcPr>
            <w:tcW w:w="1276" w:type="dxa"/>
          </w:tcPr>
          <w:p w14:paraId="7EA2653A" w14:textId="0C5452E5"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11</w:t>
            </w:r>
            <w:r w:rsidR="00A5764D">
              <w:t>.</w:t>
            </w:r>
            <w:r>
              <w:t>36</w:t>
            </w:r>
            <w:r w:rsidR="007811ED">
              <w:t>%</w:t>
            </w:r>
          </w:p>
        </w:tc>
        <w:tc>
          <w:tcPr>
            <w:tcW w:w="1276" w:type="dxa"/>
          </w:tcPr>
          <w:p w14:paraId="371259A8" w14:textId="1B3F78CE"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6</w:t>
            </w:r>
            <w:r w:rsidR="00A5764D">
              <w:t>.</w:t>
            </w:r>
            <w:r>
              <w:t>32</w:t>
            </w:r>
            <w:r w:rsidR="007811ED">
              <w:t>%</w:t>
            </w:r>
          </w:p>
        </w:tc>
        <w:tc>
          <w:tcPr>
            <w:tcW w:w="1275" w:type="dxa"/>
          </w:tcPr>
          <w:p w14:paraId="560657F9" w14:textId="2B443400"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4</w:t>
            </w:r>
            <w:r w:rsidR="00A5764D">
              <w:t>.</w:t>
            </w:r>
            <w:r>
              <w:t>84</w:t>
            </w:r>
            <w:r w:rsidR="007811ED">
              <w:t>%</w:t>
            </w:r>
          </w:p>
        </w:tc>
      </w:tr>
      <w:tr w:rsidR="00571499" w14:paraId="67835662"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D5FF469" w14:textId="42EF631D" w:rsidR="00571499" w:rsidRPr="007811ED" w:rsidRDefault="00C42042" w:rsidP="007B7ED5">
            <w:pPr>
              <w:rPr>
                <w:sz w:val="22"/>
                <w:szCs w:val="18"/>
              </w:rPr>
            </w:pPr>
            <w:r w:rsidRPr="007811ED">
              <w:rPr>
                <w:sz w:val="22"/>
                <w:szCs w:val="18"/>
              </w:rPr>
              <w:t>Max Drawdown</w:t>
            </w:r>
          </w:p>
        </w:tc>
        <w:tc>
          <w:tcPr>
            <w:tcW w:w="1417" w:type="dxa"/>
          </w:tcPr>
          <w:p w14:paraId="28E42A5E" w14:textId="2F8B255B"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-60</w:t>
            </w:r>
            <w:r w:rsidR="00A5764D">
              <w:t>.</w:t>
            </w:r>
            <w:r>
              <w:t>85</w:t>
            </w:r>
            <w:r w:rsidR="007811ED">
              <w:t>%</w:t>
            </w:r>
          </w:p>
        </w:tc>
        <w:tc>
          <w:tcPr>
            <w:tcW w:w="1276" w:type="dxa"/>
          </w:tcPr>
          <w:p w14:paraId="65304991" w14:textId="19FCE167"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-13</w:t>
            </w:r>
            <w:r w:rsidR="007811ED">
              <w:t>.</w:t>
            </w:r>
            <w:r>
              <w:t>05</w:t>
            </w:r>
            <w:r w:rsidR="007811ED">
              <w:t>%</w:t>
            </w:r>
          </w:p>
        </w:tc>
        <w:tc>
          <w:tcPr>
            <w:tcW w:w="1276" w:type="dxa"/>
          </w:tcPr>
          <w:p w14:paraId="08832F66" w14:textId="6D0A2FA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-14</w:t>
            </w:r>
            <w:r w:rsidR="007811ED">
              <w:t>.</w:t>
            </w:r>
            <w:r>
              <w:t>79</w:t>
            </w:r>
            <w:r w:rsidR="007811ED">
              <w:t>%</w:t>
            </w:r>
          </w:p>
        </w:tc>
        <w:tc>
          <w:tcPr>
            <w:tcW w:w="1275" w:type="dxa"/>
          </w:tcPr>
          <w:p w14:paraId="2BBE08DD" w14:textId="728BAD6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-11</w:t>
            </w:r>
            <w:r w:rsidR="007811ED">
              <w:t>.</w:t>
            </w:r>
            <w:r>
              <w:t>77</w:t>
            </w:r>
            <w:r w:rsidR="007811ED">
              <w:t>%</w:t>
            </w:r>
          </w:p>
        </w:tc>
      </w:tr>
    </w:tbl>
    <w:p w14:paraId="3DD2649A" w14:textId="77777777" w:rsidR="0005153E" w:rsidRDefault="0005153E" w:rsidP="007B7ED5"/>
    <w:p w14:paraId="360FF3AB" w14:textId="0EE3D6E3" w:rsidR="0065581E" w:rsidRDefault="007811ED" w:rsidP="007B7ED5">
      <w:r>
        <w:t xml:space="preserve">Table # shows the performance of an equally weighted portfolio of all stocks as the benchmark portfolio. The volatility, safety, and </w:t>
      </w:r>
      <w:r w:rsidR="00930CA6">
        <w:t xml:space="preserve">profit column values </w:t>
      </w:r>
      <w:r w:rsidR="00010A8E">
        <w:t>for the mean return and standard deviation column are quoted as additional to the benchmark value</w:t>
      </w:r>
      <w:r w:rsidR="0023552C">
        <w:t xml:space="preserve"> (making them active return and tracking error respectively, and risk reward for the active portfolios the information ratio)</w:t>
      </w:r>
      <w:r w:rsidR="00010A8E">
        <w:t>.</w:t>
      </w:r>
      <w:r w:rsidR="0023552C">
        <w:t xml:space="preserve"> From table # we can see that the profit backtest has performed the best with 1.63% extra additional returns and an information ratio </w:t>
      </w:r>
      <w:r w:rsidR="00311309">
        <w:t>of 0.37.</w:t>
      </w:r>
      <w:r w:rsidR="00E70C58">
        <w:t xml:space="preserve"> </w:t>
      </w:r>
      <w:r w:rsidR="0065581E">
        <w:t xml:space="preserve">The return is visualised </w:t>
      </w:r>
      <w:r w:rsidR="00E70C58">
        <w:t>in figure # as the returns of a $1 investment in 1990.</w:t>
      </w:r>
    </w:p>
    <w:p w14:paraId="060002B0" w14:textId="32A71F35" w:rsidR="00930CA6" w:rsidRDefault="0065581E" w:rsidP="007B7ED5">
      <w:r>
        <w:rPr>
          <w:noProof/>
        </w:rPr>
        <w:drawing>
          <wp:inline distT="0" distB="0" distL="0" distR="0" wp14:anchorId="5064F7B0" wp14:editId="55B77EEE">
            <wp:extent cx="5731510" cy="3404870"/>
            <wp:effectExtent l="0" t="0" r="2540" b="5080"/>
            <wp:docPr id="1470315993" name="Picture 19"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15993" name="Picture 19" descr="A graph of a number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404870"/>
                    </a:xfrm>
                    <a:prstGeom prst="rect">
                      <a:avLst/>
                    </a:prstGeom>
                  </pic:spPr>
                </pic:pic>
              </a:graphicData>
            </a:graphic>
          </wp:inline>
        </w:drawing>
      </w:r>
    </w:p>
    <w:p w14:paraId="212ADBF0" w14:textId="628A323D" w:rsidR="00985B22" w:rsidRDefault="00985B22" w:rsidP="007B7ED5">
      <w:r>
        <w:t>Figure # has been added to better understand the results of the strategies by year</w:t>
      </w:r>
      <w:r w:rsidR="003C2FF3">
        <w:t>.</w:t>
      </w:r>
    </w:p>
    <w:p w14:paraId="6B31A243" w14:textId="07F0B874" w:rsidR="003C2FF3" w:rsidRPr="007B7ED5" w:rsidRDefault="003C2FF3" w:rsidP="007B7ED5">
      <w:r>
        <w:rPr>
          <w:noProof/>
        </w:rPr>
        <w:lastRenderedPageBreak/>
        <w:drawing>
          <wp:inline distT="0" distB="0" distL="0" distR="0" wp14:anchorId="38E0FC3A" wp14:editId="0041BEEE">
            <wp:extent cx="5731510" cy="3406140"/>
            <wp:effectExtent l="0" t="0" r="2540" b="3810"/>
            <wp:docPr id="1870264695" name="Picture 2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64695" name="Picture 20"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06140"/>
                    </a:xfrm>
                    <a:prstGeom prst="rect">
                      <a:avLst/>
                    </a:prstGeom>
                  </pic:spPr>
                </pic:pic>
              </a:graphicData>
            </a:graphic>
          </wp:inline>
        </w:drawing>
      </w:r>
    </w:p>
    <w:p w14:paraId="48E8249D" w14:textId="77219988" w:rsidR="005D2B36" w:rsidRDefault="003C2FF3">
      <w:pPr>
        <w:rPr>
          <w:rFonts w:asciiTheme="majorHAnsi" w:eastAsiaTheme="majorEastAsia" w:hAnsiTheme="majorHAnsi" w:cstheme="majorBidi"/>
          <w:b/>
          <w:bCs/>
          <w:caps/>
          <w:spacing w:val="4"/>
          <w:sz w:val="28"/>
          <w:szCs w:val="28"/>
        </w:rPr>
      </w:pPr>
      <w:r>
        <w:t>Figure # shows strong performance as expected in 2000, 2001 and 2008</w:t>
      </w:r>
      <w:r w:rsidR="009D055E">
        <w:t xml:space="preserve"> across all the factors</w:t>
      </w:r>
      <w:r w:rsidR="003B2699">
        <w:t>, and 2020 across just safety and profitability as low volatility was left behind</w:t>
      </w:r>
      <w:r>
        <w:t>. Interesting</w:t>
      </w:r>
      <w:r w:rsidR="009D055E">
        <w:t xml:space="preserve"> it can be observed that profitability </w:t>
      </w:r>
      <w:r w:rsidR="00A26D11">
        <w:t xml:space="preserve">had </w:t>
      </w:r>
      <w:r w:rsidR="008F0283">
        <w:t>its</w:t>
      </w:r>
      <w:r w:rsidR="00A26D11">
        <w:t xml:space="preserve"> best performance since 2008 in 2023, in a high inflation economic environment akin to that seen in the 80’s, </w:t>
      </w:r>
      <w:r w:rsidR="006F64DF">
        <w:t>backing up</w:t>
      </w:r>
      <w:r w:rsidR="00A26D11">
        <w:t xml:space="preserve"> the statistical analysis of the inflation </w:t>
      </w:r>
      <w:r w:rsidR="00A31716">
        <w:t>relationship.</w:t>
      </w:r>
      <w:r w:rsidR="005D2B36">
        <w:br w:type="page"/>
      </w:r>
    </w:p>
    <w:p w14:paraId="171ECF5F" w14:textId="30EC1D41" w:rsidR="00B5778A" w:rsidRDefault="002F2E85" w:rsidP="004F3DAC">
      <w:pPr>
        <w:pStyle w:val="Heading1"/>
      </w:pPr>
      <w:bookmarkStart w:id="3" w:name="_Toc210985636"/>
      <w:r>
        <w:lastRenderedPageBreak/>
        <w:t xml:space="preserve">4. </w:t>
      </w:r>
      <w:r w:rsidR="00870B11">
        <w:t>Rebalancing Frequency Optimisation</w:t>
      </w:r>
      <w:bookmarkEnd w:id="3"/>
    </w:p>
    <w:p w14:paraId="5827C307" w14:textId="1FACD847" w:rsidR="007B7ED5" w:rsidRDefault="007D4715" w:rsidP="007B7ED5">
      <w:r>
        <w:t>The strategy backtested in part 3 of this report</w:t>
      </w:r>
      <w:r w:rsidR="00286BC5">
        <w:t xml:space="preserve"> uses a monthly rebalancing frequency. The rebalancing frequency is critical to the profitability of an investment </w:t>
      </w:r>
      <w:r w:rsidR="00BB1606">
        <w:t>strategy;</w:t>
      </w:r>
      <w:r w:rsidR="00286BC5">
        <w:t xml:space="preserve"> this is due to the transaction costs of moving between securities. </w:t>
      </w:r>
      <w:r w:rsidR="009B1981">
        <w:t>Rebalancing frequency would be irrelevant without transaction costs, however with transaction costs there is a critical balance to be made, between rebalancing frequency and signal decay. The advantage of rebalancing often is that you capture the information in your signal straight away, this information may decay and become less relevant by the time you trade on it if the trading frequency is reduced.</w:t>
      </w:r>
    </w:p>
    <w:p w14:paraId="0E809B06" w14:textId="177E8B6A" w:rsidR="00BB1606" w:rsidRDefault="00BB1606" w:rsidP="007B7ED5">
      <w:r>
        <w:t>The backtests performed in part 3 were repeated for varying rebalancing frequencies for the 3 factor signals, figure # shows the results.</w:t>
      </w:r>
    </w:p>
    <w:p w14:paraId="475F1133" w14:textId="6654F117" w:rsidR="00BB1606" w:rsidRPr="007B7ED5" w:rsidRDefault="00BB1606" w:rsidP="007B7ED5">
      <w:r>
        <w:rPr>
          <w:noProof/>
        </w:rPr>
        <w:drawing>
          <wp:inline distT="0" distB="0" distL="0" distR="0" wp14:anchorId="63B1FD4F" wp14:editId="7CFF3E5F">
            <wp:extent cx="5731510" cy="3655060"/>
            <wp:effectExtent l="0" t="0" r="2540" b="2540"/>
            <wp:docPr id="20361485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8556" name="Picture 2036148556"/>
                    <pic:cNvPicPr/>
                  </pic:nvPicPr>
                  <pic:blipFill>
                    <a:blip r:embed="rId15">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1C56656D" w14:textId="77777777" w:rsidR="00FC5F65" w:rsidRDefault="00BB1606">
      <w:r>
        <w:t>Figure # shows that the optimal rebalancing frequency is 5 months for all of the signals. The profit and volatility signals largely do not experience much difference as the rebalancing frequency is increased</w:t>
      </w:r>
      <w:r w:rsidR="00FC5F65">
        <w:t xml:space="preserve">. </w:t>
      </w:r>
    </w:p>
    <w:p w14:paraId="5A4409A2" w14:textId="275FAC01" w:rsidR="005D2B36" w:rsidRDefault="005D2B36">
      <w:pPr>
        <w:rPr>
          <w:rFonts w:asciiTheme="majorHAnsi" w:eastAsiaTheme="majorEastAsia" w:hAnsiTheme="majorHAnsi" w:cstheme="majorBidi"/>
          <w:b/>
          <w:bCs/>
          <w:caps/>
          <w:spacing w:val="4"/>
          <w:sz w:val="28"/>
          <w:szCs w:val="28"/>
        </w:rPr>
      </w:pPr>
      <w:r>
        <w:br w:type="page"/>
      </w:r>
    </w:p>
    <w:p w14:paraId="30CC2B13" w14:textId="07F615FA" w:rsidR="00870B11" w:rsidRDefault="002F2E85" w:rsidP="004F3DAC">
      <w:pPr>
        <w:pStyle w:val="Heading1"/>
      </w:pPr>
      <w:bookmarkStart w:id="4" w:name="_Toc210985637"/>
      <w:r>
        <w:lastRenderedPageBreak/>
        <w:t xml:space="preserve">5. </w:t>
      </w:r>
      <w:r w:rsidR="00EA452F">
        <w:t>Optimal Factor Combination</w:t>
      </w:r>
      <w:bookmarkEnd w:id="4"/>
    </w:p>
    <w:p w14:paraId="4BF3A040" w14:textId="77777777" w:rsidR="008E7D92" w:rsidRPr="008E7D92" w:rsidRDefault="008E7D92" w:rsidP="008E7D92"/>
    <w:p w14:paraId="7FD98572" w14:textId="77777777" w:rsidR="00680E39" w:rsidRDefault="00680E39" w:rsidP="00680E39">
      <w:r>
        <w:t>Want to do this:</w:t>
      </w:r>
      <w:r>
        <w:br/>
      </w:r>
      <w:r w:rsidRPr="00680E39">
        <w:rPr>
          <w:noProof/>
        </w:rPr>
        <w:drawing>
          <wp:inline distT="0" distB="0" distL="0" distR="0" wp14:anchorId="1E5AC7A7" wp14:editId="1DDA88F0">
            <wp:extent cx="5731510" cy="3731895"/>
            <wp:effectExtent l="0" t="0" r="2540" b="1905"/>
            <wp:docPr id="755205412" name="Picture 1" descr="A screenshot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05412" name="Picture 1" descr="A screenshot of a report&#10;&#10;AI-generated content may be incorrect."/>
                    <pic:cNvPicPr/>
                  </pic:nvPicPr>
                  <pic:blipFill>
                    <a:blip r:embed="rId16"/>
                    <a:stretch>
                      <a:fillRect/>
                    </a:stretch>
                  </pic:blipFill>
                  <pic:spPr>
                    <a:xfrm>
                      <a:off x="0" y="0"/>
                      <a:ext cx="5731510" cy="3731895"/>
                    </a:xfrm>
                    <a:prstGeom prst="rect">
                      <a:avLst/>
                    </a:prstGeom>
                  </pic:spPr>
                </pic:pic>
              </a:graphicData>
            </a:graphic>
          </wp:inline>
        </w:drawing>
      </w:r>
    </w:p>
    <w:p w14:paraId="1F5016FA" w14:textId="77777777" w:rsidR="00680E39" w:rsidRDefault="00680E39" w:rsidP="00680E39"/>
    <w:p w14:paraId="2FA55CA4" w14:textId="77777777" w:rsidR="00680E39" w:rsidRDefault="00680E39" w:rsidP="00680E39">
      <w:r>
        <w:t>Then show dilution from investing in multiple single factors separately</w:t>
      </w:r>
    </w:p>
    <w:p w14:paraId="4C3D3FEB" w14:textId="504CDC1E" w:rsidR="005D2B36" w:rsidRDefault="005D2B36" w:rsidP="00680E39">
      <w:pPr>
        <w:rPr>
          <w:rFonts w:asciiTheme="majorHAnsi" w:eastAsiaTheme="majorEastAsia" w:hAnsiTheme="majorHAnsi" w:cstheme="majorBidi"/>
          <w:b/>
          <w:bCs/>
          <w:caps/>
          <w:spacing w:val="4"/>
          <w:sz w:val="28"/>
          <w:szCs w:val="28"/>
        </w:rPr>
      </w:pPr>
      <w:r>
        <w:br w:type="page"/>
      </w:r>
    </w:p>
    <w:p w14:paraId="446EB845" w14:textId="30C74417" w:rsidR="008E7D92" w:rsidRDefault="002F2E85" w:rsidP="004F3DAC">
      <w:pPr>
        <w:pStyle w:val="Heading1"/>
      </w:pPr>
      <w:bookmarkStart w:id="5" w:name="_Toc210985638"/>
      <w:r>
        <w:lastRenderedPageBreak/>
        <w:t xml:space="preserve">6. </w:t>
      </w:r>
      <w:r w:rsidR="009264D0">
        <w:t>Machine Learning Factor Investing Approach</w:t>
      </w:r>
      <w:bookmarkEnd w:id="5"/>
    </w:p>
    <w:p w14:paraId="2A23581B" w14:textId="77777777" w:rsidR="008E7D92" w:rsidRDefault="008E7D92" w:rsidP="008E7D92"/>
    <w:p w14:paraId="46471DB9" w14:textId="77777777" w:rsidR="003C628B" w:rsidRDefault="003C628B">
      <w:pPr>
        <w:rPr>
          <w:rFonts w:asciiTheme="majorHAnsi" w:eastAsiaTheme="majorEastAsia" w:hAnsiTheme="majorHAnsi" w:cstheme="majorBidi"/>
          <w:b/>
          <w:bCs/>
          <w:caps/>
          <w:spacing w:val="4"/>
          <w:sz w:val="28"/>
          <w:szCs w:val="28"/>
        </w:rPr>
      </w:pPr>
      <w:r>
        <w:br w:type="page"/>
      </w:r>
    </w:p>
    <w:p w14:paraId="681744ED" w14:textId="4BE5B46A" w:rsidR="004F3DAC" w:rsidRDefault="004F3DAC" w:rsidP="004F3DAC">
      <w:pPr>
        <w:pStyle w:val="Heading1"/>
      </w:pPr>
      <w:bookmarkStart w:id="6" w:name="_Toc210985639"/>
      <w:r>
        <w:lastRenderedPageBreak/>
        <w:t>References</w:t>
      </w:r>
      <w:bookmarkEnd w:id="6"/>
    </w:p>
    <w:p w14:paraId="6039A6A1" w14:textId="77777777" w:rsidR="00243239" w:rsidRDefault="00243239" w:rsidP="00243239">
      <w:pPr>
        <w:ind w:left="720" w:hanging="720"/>
      </w:pPr>
      <w:r w:rsidRPr="00243239">
        <w:t xml:space="preserve">Blitz, D. C., &amp; Vliet, P. V. (2007). </w:t>
      </w:r>
      <w:r w:rsidRPr="00243239">
        <w:rPr>
          <w:i/>
          <w:iCs/>
        </w:rPr>
        <w:t>The volatility effect: Lower risk without lower return</w:t>
      </w:r>
      <w:r w:rsidRPr="00243239">
        <w:t xml:space="preserve">. Erasmus Research Institute of Management (ERIM). </w:t>
      </w:r>
      <w:hyperlink r:id="rId17" w:history="1">
        <w:r w:rsidRPr="00243239">
          <w:rPr>
            <w:rStyle w:val="Hyperlink"/>
          </w:rPr>
          <w:t>https://www.efalken.com/pdfs/BlitzvanVlietVolatility07.pdf</w:t>
        </w:r>
      </w:hyperlink>
    </w:p>
    <w:p w14:paraId="5F263A4C" w14:textId="29092E15" w:rsidR="00243239" w:rsidRPr="00243239" w:rsidRDefault="00243239" w:rsidP="00243239">
      <w:pPr>
        <w:ind w:left="720" w:hanging="720"/>
      </w:pPr>
      <w:r w:rsidRPr="00243239">
        <w:t xml:space="preserve">Campbell, J., Hilscher, J., &amp; Szilagyi, J. (2006). In search of distress risk. </w:t>
      </w:r>
      <w:hyperlink r:id="rId18" w:history="1">
        <w:r w:rsidRPr="00243239">
          <w:rPr>
            <w:rStyle w:val="Hyperlink"/>
          </w:rPr>
          <w:t>https://doi.org/10.3386/w12362</w:t>
        </w:r>
      </w:hyperlink>
    </w:p>
    <w:p w14:paraId="589764E0" w14:textId="77777777" w:rsidR="00243239" w:rsidRPr="00243239" w:rsidRDefault="00243239" w:rsidP="00243239">
      <w:pPr>
        <w:ind w:left="720" w:hanging="720"/>
      </w:pPr>
      <w:r w:rsidRPr="00243239">
        <w:t xml:space="preserve">Fama, E. F., &amp; French, K. R. (1992). The Cross-Section of Expected Stock Returns. </w:t>
      </w:r>
      <w:r w:rsidRPr="00243239">
        <w:rPr>
          <w:i/>
          <w:iCs/>
        </w:rPr>
        <w:t>The Journal of Finance</w:t>
      </w:r>
      <w:r w:rsidRPr="00243239">
        <w:t xml:space="preserve">, </w:t>
      </w:r>
      <w:r w:rsidRPr="00243239">
        <w:rPr>
          <w:i/>
          <w:iCs/>
        </w:rPr>
        <w:t>47</w:t>
      </w:r>
      <w:r w:rsidRPr="00243239">
        <w:t xml:space="preserve">(2), 427-465. </w:t>
      </w:r>
      <w:hyperlink r:id="rId19" w:history="1">
        <w:r w:rsidRPr="00243239">
          <w:rPr>
            <w:rStyle w:val="Hyperlink"/>
          </w:rPr>
          <w:t>https://www.jstor.org/stable/2329112</w:t>
        </w:r>
      </w:hyperlink>
    </w:p>
    <w:p w14:paraId="4305DB76" w14:textId="77777777" w:rsidR="00243239" w:rsidRPr="00243239" w:rsidRDefault="00243239" w:rsidP="00243239">
      <w:pPr>
        <w:ind w:left="720" w:hanging="720"/>
      </w:pPr>
      <w:r w:rsidRPr="00243239">
        <w:t xml:space="preserve">Fama, E. F., &amp; French, K. R. (1993). Common risk factors in the returns on stocks and bonds. </w:t>
      </w:r>
      <w:r w:rsidRPr="00243239">
        <w:rPr>
          <w:i/>
          <w:iCs/>
        </w:rPr>
        <w:t>Journal of Financial Economics</w:t>
      </w:r>
      <w:r w:rsidRPr="00243239">
        <w:t xml:space="preserve">, </w:t>
      </w:r>
      <w:r w:rsidRPr="00243239">
        <w:rPr>
          <w:i/>
          <w:iCs/>
        </w:rPr>
        <w:t>33</w:t>
      </w:r>
      <w:r w:rsidRPr="00243239">
        <w:t xml:space="preserve">(1), 3-56. </w:t>
      </w:r>
      <w:hyperlink r:id="rId20" w:history="1">
        <w:r w:rsidRPr="00243239">
          <w:rPr>
            <w:rStyle w:val="Hyperlink"/>
          </w:rPr>
          <w:t>https://doi.org/10.1016/0304-405x(93)90023-5</w:t>
        </w:r>
      </w:hyperlink>
    </w:p>
    <w:p w14:paraId="52C121E5" w14:textId="77777777" w:rsidR="00243239" w:rsidRPr="00243239" w:rsidRDefault="00243239" w:rsidP="00243239">
      <w:pPr>
        <w:ind w:left="720" w:hanging="720"/>
      </w:pPr>
      <w:r w:rsidRPr="00243239">
        <w:t xml:space="preserve">Novy-Marx, R. (2013). The other side of value: The gross profitability premium. </w:t>
      </w:r>
      <w:r w:rsidRPr="00243239">
        <w:rPr>
          <w:i/>
          <w:iCs/>
        </w:rPr>
        <w:t>Journal of Financial Economics</w:t>
      </w:r>
      <w:r w:rsidRPr="00243239">
        <w:t xml:space="preserve">, </w:t>
      </w:r>
      <w:r w:rsidRPr="00243239">
        <w:rPr>
          <w:i/>
          <w:iCs/>
        </w:rPr>
        <w:t>108</w:t>
      </w:r>
      <w:r w:rsidRPr="00243239">
        <w:t xml:space="preserve">(1), 1-28. </w:t>
      </w:r>
      <w:hyperlink r:id="rId21" w:history="1">
        <w:r w:rsidRPr="00243239">
          <w:rPr>
            <w:rStyle w:val="Hyperlink"/>
          </w:rPr>
          <w:t>https://doi.org/10.1016/j.jfineco.2013.01.003</w:t>
        </w:r>
      </w:hyperlink>
    </w:p>
    <w:p w14:paraId="563E3AD6" w14:textId="77777777" w:rsidR="00243239" w:rsidRPr="00243239" w:rsidRDefault="00243239" w:rsidP="00243239">
      <w:pPr>
        <w:ind w:left="720" w:hanging="720"/>
      </w:pPr>
      <w:r w:rsidRPr="00243239">
        <w:t xml:space="preserve">Penman, S. H., Richardson, S. A., &amp; Tuna, A. I. (2005). The book-to-Price effect in stock returns: Accounting for leverage. </w:t>
      </w:r>
      <w:r w:rsidRPr="00243239">
        <w:rPr>
          <w:i/>
          <w:iCs/>
        </w:rPr>
        <w:t>SSRN Electronic Journal</w:t>
      </w:r>
      <w:r w:rsidRPr="00243239">
        <w:t xml:space="preserve">. </w:t>
      </w:r>
      <w:hyperlink r:id="rId22" w:history="1">
        <w:r w:rsidRPr="00243239">
          <w:rPr>
            <w:rStyle w:val="Hyperlink"/>
          </w:rPr>
          <w:t>https://doi.org/10.2139/ssrn.789804</w:t>
        </w:r>
      </w:hyperlink>
    </w:p>
    <w:p w14:paraId="2C640C1E" w14:textId="77777777" w:rsidR="00243239" w:rsidRPr="00243239" w:rsidRDefault="00243239" w:rsidP="00243239">
      <w:pPr>
        <w:ind w:left="720" w:hanging="720"/>
      </w:pPr>
      <w:r w:rsidRPr="00243239">
        <w:t xml:space="preserve">Ross, S. A. (1976). The arbitrage theory of capital asset pricing. </w:t>
      </w:r>
      <w:r w:rsidRPr="00243239">
        <w:rPr>
          <w:i/>
          <w:iCs/>
        </w:rPr>
        <w:t>Journal of Economic Theory</w:t>
      </w:r>
      <w:r w:rsidRPr="00243239">
        <w:t xml:space="preserve">, </w:t>
      </w:r>
      <w:r w:rsidRPr="00243239">
        <w:rPr>
          <w:i/>
          <w:iCs/>
        </w:rPr>
        <w:t>13</w:t>
      </w:r>
      <w:r w:rsidRPr="00243239">
        <w:t xml:space="preserve">(3). </w:t>
      </w:r>
      <w:hyperlink r:id="rId23" w:history="1">
        <w:r w:rsidRPr="00243239">
          <w:rPr>
            <w:rStyle w:val="Hyperlink"/>
          </w:rPr>
          <w:t>https://www.sciencedirect.com/science/article/abs/pii/0022053176900466</w:t>
        </w:r>
      </w:hyperlink>
    </w:p>
    <w:p w14:paraId="11C3345B" w14:textId="77777777" w:rsidR="0078354D" w:rsidRDefault="0078354D" w:rsidP="0078354D"/>
    <w:p w14:paraId="78F4DB0F" w14:textId="77777777" w:rsidR="008D3DB5" w:rsidRPr="008741AA" w:rsidRDefault="008D3DB5" w:rsidP="008D3DB5"/>
    <w:p w14:paraId="5249D8D5" w14:textId="77777777" w:rsidR="008D3DB5" w:rsidRDefault="008D3DB5" w:rsidP="008D3DB5">
      <w:r>
        <w:t>Nice factor investing research:</w:t>
      </w:r>
      <w:r>
        <w:br/>
      </w:r>
      <w:hyperlink r:id="rId24" w:history="1">
        <w:r w:rsidRPr="00E3635D">
          <w:rPr>
            <w:rStyle w:val="Hyperlink"/>
          </w:rPr>
          <w:t>file:///C:/Users/cfawc/Downloads/AQRJPMQuant23FactFictionandFactorInvesting.pdf</w:t>
        </w:r>
      </w:hyperlink>
      <w:r>
        <w:br/>
      </w:r>
      <w:r>
        <w:br/>
        <w:t>factor combining MSCI:</w:t>
      </w:r>
      <w:r>
        <w:br/>
      </w:r>
      <w:hyperlink r:id="rId25" w:history="1">
        <w:r w:rsidRPr="00E3635D">
          <w:rPr>
            <w:rStyle w:val="Hyperlink"/>
          </w:rPr>
          <w:t>https://www.msci.com/documents/10199/ff891dc6-61ac-9d77-1f39-aeb0113a767d</w:t>
        </w:r>
      </w:hyperlink>
    </w:p>
    <w:p w14:paraId="52552D94" w14:textId="76104CBA" w:rsidR="003C628B" w:rsidRDefault="008D3DB5" w:rsidP="008D3DB5">
      <w:pPr>
        <w:rPr>
          <w:rFonts w:asciiTheme="majorHAnsi" w:eastAsiaTheme="majorEastAsia" w:hAnsiTheme="majorHAnsi" w:cstheme="majorBidi"/>
          <w:b/>
          <w:bCs/>
          <w:caps/>
          <w:spacing w:val="4"/>
          <w:sz w:val="28"/>
          <w:szCs w:val="28"/>
        </w:rPr>
      </w:pPr>
      <w:r>
        <w:t>S&amp;P global factor combining</w:t>
      </w:r>
      <w:r>
        <w:br/>
      </w:r>
      <w:r w:rsidRPr="006F4C8A">
        <w:t>https://www.spglobal.com/spdji/en/documents/research/research-the-merits-and-methods-of-multi-factor-investing.pdf</w:t>
      </w:r>
      <w:r w:rsidR="003C628B">
        <w:br w:type="page"/>
      </w:r>
    </w:p>
    <w:p w14:paraId="3743F545" w14:textId="5F7B3093" w:rsidR="0078354D" w:rsidRDefault="005D699C" w:rsidP="0078354D">
      <w:pPr>
        <w:pStyle w:val="Heading1"/>
      </w:pPr>
      <w:bookmarkStart w:id="7" w:name="_Toc210985640"/>
      <w:r>
        <w:rPr>
          <w:noProof/>
        </w:rPr>
        <w:lastRenderedPageBreak/>
        <w:drawing>
          <wp:anchor distT="0" distB="0" distL="114300" distR="114300" simplePos="0" relativeHeight="251661312" behindDoc="0" locked="0" layoutInCell="1" allowOverlap="1" wp14:anchorId="4A7F9600" wp14:editId="199274FE">
            <wp:simplePos x="0" y="0"/>
            <wp:positionH relativeFrom="margin">
              <wp:align>center</wp:align>
            </wp:positionH>
            <wp:positionV relativeFrom="paragraph">
              <wp:posOffset>262890</wp:posOffset>
            </wp:positionV>
            <wp:extent cx="4544983" cy="2700000"/>
            <wp:effectExtent l="0" t="0" r="8255" b="5715"/>
            <wp:wrapTopAndBottom/>
            <wp:docPr id="660899229" name="Picture 8" descr="A graph of growth and loss of sto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9229" name="Picture 8" descr="A graph of growth and loss of stock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44983" cy="2700000"/>
                    </a:xfrm>
                    <a:prstGeom prst="rect">
                      <a:avLst/>
                    </a:prstGeom>
                  </pic:spPr>
                </pic:pic>
              </a:graphicData>
            </a:graphic>
            <wp14:sizeRelH relativeFrom="margin">
              <wp14:pctWidth>0</wp14:pctWidth>
            </wp14:sizeRelH>
            <wp14:sizeRelV relativeFrom="margin">
              <wp14:pctHeight>0</wp14:pctHeight>
            </wp14:sizeRelV>
          </wp:anchor>
        </w:drawing>
      </w:r>
      <w:r w:rsidR="0078354D">
        <w:t>Appendix A</w:t>
      </w:r>
      <w:bookmarkEnd w:id="7"/>
      <w:r>
        <w:t xml:space="preserve"> - $1 Invested in Factor Buckets</w:t>
      </w:r>
    </w:p>
    <w:p w14:paraId="54D1A0F9" w14:textId="09A4BCFC" w:rsidR="005D699C" w:rsidRPr="005D699C" w:rsidRDefault="005D699C" w:rsidP="005D699C">
      <w:r>
        <w:rPr>
          <w:noProof/>
        </w:rPr>
        <w:drawing>
          <wp:anchor distT="0" distB="0" distL="114300" distR="114300" simplePos="0" relativeHeight="251662336" behindDoc="0" locked="0" layoutInCell="1" allowOverlap="1" wp14:anchorId="1DC80ED6" wp14:editId="5E4509B6">
            <wp:simplePos x="0" y="0"/>
            <wp:positionH relativeFrom="margin">
              <wp:align>center</wp:align>
            </wp:positionH>
            <wp:positionV relativeFrom="paragraph">
              <wp:posOffset>2931160</wp:posOffset>
            </wp:positionV>
            <wp:extent cx="4545330" cy="2699385"/>
            <wp:effectExtent l="0" t="0" r="7620" b="5715"/>
            <wp:wrapTopAndBottom/>
            <wp:docPr id="1095698218" name="Picture 9"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98218" name="Picture 9" descr="A graph of different colored li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45330" cy="26993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33AEC7A" wp14:editId="140350F2">
            <wp:simplePos x="0" y="0"/>
            <wp:positionH relativeFrom="margin">
              <wp:align>center</wp:align>
            </wp:positionH>
            <wp:positionV relativeFrom="paragraph">
              <wp:posOffset>5915025</wp:posOffset>
            </wp:positionV>
            <wp:extent cx="4545363" cy="2700000"/>
            <wp:effectExtent l="0" t="0" r="7620" b="5715"/>
            <wp:wrapTopAndBottom/>
            <wp:docPr id="1180974402"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74402" name="Picture 10" descr="A graph of different colored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45363" cy="2700000"/>
                    </a:xfrm>
                    <a:prstGeom prst="rect">
                      <a:avLst/>
                    </a:prstGeom>
                  </pic:spPr>
                </pic:pic>
              </a:graphicData>
            </a:graphic>
            <wp14:sizeRelH relativeFrom="margin">
              <wp14:pctWidth>0</wp14:pctWidth>
            </wp14:sizeRelH>
            <wp14:sizeRelV relativeFrom="margin">
              <wp14:pctHeight>0</wp14:pctHeight>
            </wp14:sizeRelV>
          </wp:anchor>
        </w:drawing>
      </w:r>
    </w:p>
    <w:p w14:paraId="6DD1B635" w14:textId="65AE50FD" w:rsidR="009264D0" w:rsidRDefault="009264D0"/>
    <w:p w14:paraId="49580D07" w14:textId="107FF7B1" w:rsidR="00B5778A" w:rsidRDefault="00B5778A"/>
    <w:sectPr w:rsidR="00B577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2C3"/>
    <w:multiLevelType w:val="hybridMultilevel"/>
    <w:tmpl w:val="F0F236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52C99"/>
    <w:multiLevelType w:val="hybridMultilevel"/>
    <w:tmpl w:val="14A66A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1232CBF"/>
    <w:multiLevelType w:val="hybridMultilevel"/>
    <w:tmpl w:val="AA4A57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FF117F4"/>
    <w:multiLevelType w:val="hybridMultilevel"/>
    <w:tmpl w:val="35E2A498"/>
    <w:lvl w:ilvl="0" w:tplc="B46AEE64">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5" w15:restartNumberingAfterBreak="0">
    <w:nsid w:val="367D1D9C"/>
    <w:multiLevelType w:val="hybridMultilevel"/>
    <w:tmpl w:val="0BB09A5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17F382A"/>
    <w:multiLevelType w:val="hybridMultilevel"/>
    <w:tmpl w:val="95E87D8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2623C24"/>
    <w:multiLevelType w:val="hybridMultilevel"/>
    <w:tmpl w:val="42D2BF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4C854EC"/>
    <w:multiLevelType w:val="hybridMultilevel"/>
    <w:tmpl w:val="37E23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C876DED"/>
    <w:multiLevelType w:val="hybridMultilevel"/>
    <w:tmpl w:val="7C5665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5FB57965"/>
    <w:multiLevelType w:val="hybridMultilevel"/>
    <w:tmpl w:val="65BC678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13343201">
    <w:abstractNumId w:val="3"/>
  </w:num>
  <w:num w:numId="2" w16cid:durableId="1362703087">
    <w:abstractNumId w:val="3"/>
  </w:num>
  <w:num w:numId="3" w16cid:durableId="2040933705">
    <w:abstractNumId w:val="3"/>
  </w:num>
  <w:num w:numId="4" w16cid:durableId="961806895">
    <w:abstractNumId w:val="3"/>
  </w:num>
  <w:num w:numId="5" w16cid:durableId="6564499">
    <w:abstractNumId w:val="3"/>
  </w:num>
  <w:num w:numId="6" w16cid:durableId="1994413053">
    <w:abstractNumId w:val="3"/>
  </w:num>
  <w:num w:numId="7" w16cid:durableId="1237588850">
    <w:abstractNumId w:val="3"/>
  </w:num>
  <w:num w:numId="8" w16cid:durableId="1053117309">
    <w:abstractNumId w:val="3"/>
  </w:num>
  <w:num w:numId="9" w16cid:durableId="840776885">
    <w:abstractNumId w:val="3"/>
  </w:num>
  <w:num w:numId="10" w16cid:durableId="752968074">
    <w:abstractNumId w:val="3"/>
  </w:num>
  <w:num w:numId="11" w16cid:durableId="951857777">
    <w:abstractNumId w:val="4"/>
  </w:num>
  <w:num w:numId="12" w16cid:durableId="577401180">
    <w:abstractNumId w:val="10"/>
  </w:num>
  <w:num w:numId="13" w16cid:durableId="1396707119">
    <w:abstractNumId w:val="7"/>
  </w:num>
  <w:num w:numId="14" w16cid:durableId="2020621382">
    <w:abstractNumId w:val="5"/>
  </w:num>
  <w:num w:numId="15" w16cid:durableId="748115511">
    <w:abstractNumId w:val="6"/>
  </w:num>
  <w:num w:numId="16" w16cid:durableId="864825627">
    <w:abstractNumId w:val="8"/>
  </w:num>
  <w:num w:numId="17" w16cid:durableId="520168381">
    <w:abstractNumId w:val="9"/>
  </w:num>
  <w:num w:numId="18" w16cid:durableId="652829140">
    <w:abstractNumId w:val="2"/>
  </w:num>
  <w:num w:numId="19" w16cid:durableId="1997298840">
    <w:abstractNumId w:val="1"/>
  </w:num>
  <w:num w:numId="20" w16cid:durableId="206159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840"/>
    <w:rsid w:val="00010A8E"/>
    <w:rsid w:val="00044F2D"/>
    <w:rsid w:val="00047BC1"/>
    <w:rsid w:val="0005153E"/>
    <w:rsid w:val="00077613"/>
    <w:rsid w:val="000A2E89"/>
    <w:rsid w:val="000B2154"/>
    <w:rsid w:val="000B3FBB"/>
    <w:rsid w:val="000F2B78"/>
    <w:rsid w:val="00147FF8"/>
    <w:rsid w:val="0018635E"/>
    <w:rsid w:val="00191814"/>
    <w:rsid w:val="001D4B76"/>
    <w:rsid w:val="001E5D29"/>
    <w:rsid w:val="001F3469"/>
    <w:rsid w:val="0020137E"/>
    <w:rsid w:val="0023552C"/>
    <w:rsid w:val="00243239"/>
    <w:rsid w:val="0025266F"/>
    <w:rsid w:val="00262CF9"/>
    <w:rsid w:val="00286BC5"/>
    <w:rsid w:val="002A277A"/>
    <w:rsid w:val="002E22BB"/>
    <w:rsid w:val="002F1A2A"/>
    <w:rsid w:val="002F2E85"/>
    <w:rsid w:val="002F4885"/>
    <w:rsid w:val="00306C9E"/>
    <w:rsid w:val="00311309"/>
    <w:rsid w:val="00326E09"/>
    <w:rsid w:val="003272D8"/>
    <w:rsid w:val="003769DF"/>
    <w:rsid w:val="003B2699"/>
    <w:rsid w:val="003C2FF3"/>
    <w:rsid w:val="003C628B"/>
    <w:rsid w:val="003F1BF0"/>
    <w:rsid w:val="00406684"/>
    <w:rsid w:val="00437FE0"/>
    <w:rsid w:val="00481DC6"/>
    <w:rsid w:val="00494B4A"/>
    <w:rsid w:val="004F3DAC"/>
    <w:rsid w:val="00541FF2"/>
    <w:rsid w:val="0055464E"/>
    <w:rsid w:val="00564739"/>
    <w:rsid w:val="00570D1C"/>
    <w:rsid w:val="00571111"/>
    <w:rsid w:val="00571499"/>
    <w:rsid w:val="005A1937"/>
    <w:rsid w:val="005C679C"/>
    <w:rsid w:val="005D2B36"/>
    <w:rsid w:val="005D699C"/>
    <w:rsid w:val="005D6FFF"/>
    <w:rsid w:val="006233C4"/>
    <w:rsid w:val="00627B34"/>
    <w:rsid w:val="00651672"/>
    <w:rsid w:val="0065581E"/>
    <w:rsid w:val="00660E2E"/>
    <w:rsid w:val="00680E39"/>
    <w:rsid w:val="00695F09"/>
    <w:rsid w:val="006F49AA"/>
    <w:rsid w:val="006F4C8A"/>
    <w:rsid w:val="006F64DF"/>
    <w:rsid w:val="00766AA2"/>
    <w:rsid w:val="007811ED"/>
    <w:rsid w:val="0078354D"/>
    <w:rsid w:val="00794840"/>
    <w:rsid w:val="007B2FFC"/>
    <w:rsid w:val="007B7ED5"/>
    <w:rsid w:val="007C77DF"/>
    <w:rsid w:val="007D081F"/>
    <w:rsid w:val="007D4715"/>
    <w:rsid w:val="007F6B03"/>
    <w:rsid w:val="008462BD"/>
    <w:rsid w:val="00854D1A"/>
    <w:rsid w:val="00870B11"/>
    <w:rsid w:val="008741AA"/>
    <w:rsid w:val="008A724E"/>
    <w:rsid w:val="008D3DB5"/>
    <w:rsid w:val="008D5C55"/>
    <w:rsid w:val="008D71D8"/>
    <w:rsid w:val="008E7D92"/>
    <w:rsid w:val="008F0283"/>
    <w:rsid w:val="008F623F"/>
    <w:rsid w:val="00924F07"/>
    <w:rsid w:val="009264D0"/>
    <w:rsid w:val="00930CA6"/>
    <w:rsid w:val="00932B56"/>
    <w:rsid w:val="00937781"/>
    <w:rsid w:val="00946565"/>
    <w:rsid w:val="00961DB0"/>
    <w:rsid w:val="00980260"/>
    <w:rsid w:val="00985B22"/>
    <w:rsid w:val="009B1981"/>
    <w:rsid w:val="009D055E"/>
    <w:rsid w:val="009E0366"/>
    <w:rsid w:val="00A04339"/>
    <w:rsid w:val="00A10B40"/>
    <w:rsid w:val="00A10E6E"/>
    <w:rsid w:val="00A12F4A"/>
    <w:rsid w:val="00A146B1"/>
    <w:rsid w:val="00A25A31"/>
    <w:rsid w:val="00A26D11"/>
    <w:rsid w:val="00A31716"/>
    <w:rsid w:val="00A3691D"/>
    <w:rsid w:val="00A45547"/>
    <w:rsid w:val="00A46D63"/>
    <w:rsid w:val="00A5764D"/>
    <w:rsid w:val="00A66D2A"/>
    <w:rsid w:val="00A702C5"/>
    <w:rsid w:val="00A806AC"/>
    <w:rsid w:val="00A84007"/>
    <w:rsid w:val="00AB5D85"/>
    <w:rsid w:val="00AD4237"/>
    <w:rsid w:val="00AE3AB1"/>
    <w:rsid w:val="00AF305A"/>
    <w:rsid w:val="00B34085"/>
    <w:rsid w:val="00B564BB"/>
    <w:rsid w:val="00B5778A"/>
    <w:rsid w:val="00B61ECE"/>
    <w:rsid w:val="00B73993"/>
    <w:rsid w:val="00B91CB7"/>
    <w:rsid w:val="00B94484"/>
    <w:rsid w:val="00BB1606"/>
    <w:rsid w:val="00BB1A7A"/>
    <w:rsid w:val="00BB2097"/>
    <w:rsid w:val="00BC2776"/>
    <w:rsid w:val="00BE42B0"/>
    <w:rsid w:val="00BF534B"/>
    <w:rsid w:val="00C42042"/>
    <w:rsid w:val="00C82F90"/>
    <w:rsid w:val="00CA7204"/>
    <w:rsid w:val="00CD38C4"/>
    <w:rsid w:val="00CE1148"/>
    <w:rsid w:val="00D35167"/>
    <w:rsid w:val="00D6323F"/>
    <w:rsid w:val="00D773A8"/>
    <w:rsid w:val="00D909BC"/>
    <w:rsid w:val="00DB0D29"/>
    <w:rsid w:val="00DF60B9"/>
    <w:rsid w:val="00E05341"/>
    <w:rsid w:val="00E65130"/>
    <w:rsid w:val="00E70C58"/>
    <w:rsid w:val="00E96903"/>
    <w:rsid w:val="00EA452F"/>
    <w:rsid w:val="00EB7E32"/>
    <w:rsid w:val="00EE7CDF"/>
    <w:rsid w:val="00EF6473"/>
    <w:rsid w:val="00F219AD"/>
    <w:rsid w:val="00F21E9A"/>
    <w:rsid w:val="00F34C01"/>
    <w:rsid w:val="00F975E7"/>
    <w:rsid w:val="00FC5F65"/>
    <w:rsid w:val="00FE79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91E0"/>
  <w15:chartTrackingRefBased/>
  <w15:docId w15:val="{5C23C164-0EA5-495C-8D83-E29AC13AD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776"/>
    <w:pPr>
      <w:jc w:val="left"/>
    </w:pPr>
    <w:rPr>
      <w:rFonts w:ascii="Times New Roman" w:hAnsi="Times New Roman"/>
    </w:rPr>
  </w:style>
  <w:style w:type="paragraph" w:styleId="Heading1">
    <w:name w:val="heading 1"/>
    <w:basedOn w:val="Normal"/>
    <w:next w:val="Normal"/>
    <w:link w:val="Heading1Char"/>
    <w:uiPriority w:val="9"/>
    <w:qFormat/>
    <w:rsid w:val="0020137E"/>
    <w:pPr>
      <w:keepNext/>
      <w:keepLines/>
      <w:spacing w:before="320" w:after="4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20137E"/>
    <w:pPr>
      <w:keepNext/>
      <w:keepLines/>
      <w:spacing w:before="120" w:after="0"/>
      <w:outlineLvl w:val="1"/>
    </w:pPr>
    <w:rPr>
      <w:rFonts w:eastAsiaTheme="majorEastAsia" w:cstheme="majorBidi"/>
      <w:b/>
      <w:bCs/>
      <w:sz w:val="28"/>
      <w:szCs w:val="28"/>
    </w:rPr>
  </w:style>
  <w:style w:type="paragraph" w:styleId="Heading3">
    <w:name w:val="heading 3"/>
    <w:basedOn w:val="Normal"/>
    <w:next w:val="Normal"/>
    <w:link w:val="Heading3Char"/>
    <w:uiPriority w:val="9"/>
    <w:unhideWhenUsed/>
    <w:qFormat/>
    <w:rsid w:val="0020137E"/>
    <w:pPr>
      <w:keepNext/>
      <w:keepLines/>
      <w:spacing w:before="120" w:after="0"/>
      <w:outlineLvl w:val="2"/>
    </w:pPr>
    <w:rPr>
      <w:rFonts w:eastAsiaTheme="majorEastAsia" w:cstheme="majorBidi"/>
      <w:spacing w:val="4"/>
      <w:sz w:val="24"/>
      <w:szCs w:val="24"/>
    </w:rPr>
  </w:style>
  <w:style w:type="paragraph" w:styleId="Heading4">
    <w:name w:val="heading 4"/>
    <w:basedOn w:val="Normal"/>
    <w:next w:val="Normal"/>
    <w:link w:val="Heading4Char"/>
    <w:uiPriority w:val="9"/>
    <w:semiHidden/>
    <w:unhideWhenUsed/>
    <w:qFormat/>
    <w:rsid w:val="0078354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78354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8354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8354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8354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8354D"/>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37E"/>
    <w:rPr>
      <w:rFonts w:ascii="Times New Roman" w:eastAsiaTheme="majorEastAsia" w:hAnsi="Times New Roman" w:cstheme="majorBidi"/>
      <w:b/>
      <w:bCs/>
      <w:caps/>
      <w:spacing w:val="4"/>
      <w:sz w:val="28"/>
      <w:szCs w:val="28"/>
    </w:rPr>
  </w:style>
  <w:style w:type="character" w:customStyle="1" w:styleId="Heading2Char">
    <w:name w:val="Heading 2 Char"/>
    <w:basedOn w:val="DefaultParagraphFont"/>
    <w:link w:val="Heading2"/>
    <w:uiPriority w:val="9"/>
    <w:rsid w:val="0020137E"/>
    <w:rPr>
      <w:rFonts w:ascii="Times New Roman" w:eastAsiaTheme="majorEastAsia" w:hAnsi="Times New Roman" w:cstheme="majorBidi"/>
      <w:b/>
      <w:bCs/>
      <w:sz w:val="28"/>
      <w:szCs w:val="28"/>
    </w:rPr>
  </w:style>
  <w:style w:type="character" w:customStyle="1" w:styleId="Heading3Char">
    <w:name w:val="Heading 3 Char"/>
    <w:basedOn w:val="DefaultParagraphFont"/>
    <w:link w:val="Heading3"/>
    <w:uiPriority w:val="9"/>
    <w:rsid w:val="0020137E"/>
    <w:rPr>
      <w:rFonts w:ascii="Times New Roman" w:eastAsiaTheme="majorEastAsia" w:hAnsi="Times New Roman" w:cstheme="majorBidi"/>
      <w:spacing w:val="4"/>
      <w:sz w:val="24"/>
      <w:szCs w:val="24"/>
    </w:rPr>
  </w:style>
  <w:style w:type="character" w:customStyle="1" w:styleId="Heading4Char">
    <w:name w:val="Heading 4 Char"/>
    <w:basedOn w:val="DefaultParagraphFont"/>
    <w:link w:val="Heading4"/>
    <w:uiPriority w:val="9"/>
    <w:semiHidden/>
    <w:rsid w:val="0078354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8354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8354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8354D"/>
    <w:rPr>
      <w:i/>
      <w:iCs/>
    </w:rPr>
  </w:style>
  <w:style w:type="character" w:customStyle="1" w:styleId="Heading8Char">
    <w:name w:val="Heading 8 Char"/>
    <w:basedOn w:val="DefaultParagraphFont"/>
    <w:link w:val="Heading8"/>
    <w:uiPriority w:val="9"/>
    <w:semiHidden/>
    <w:rsid w:val="0078354D"/>
    <w:rPr>
      <w:b/>
      <w:bCs/>
    </w:rPr>
  </w:style>
  <w:style w:type="character" w:customStyle="1" w:styleId="Heading9Char">
    <w:name w:val="Heading 9 Char"/>
    <w:basedOn w:val="DefaultParagraphFont"/>
    <w:link w:val="Heading9"/>
    <w:uiPriority w:val="9"/>
    <w:semiHidden/>
    <w:rsid w:val="0078354D"/>
    <w:rPr>
      <w:i/>
      <w:iCs/>
    </w:rPr>
  </w:style>
  <w:style w:type="paragraph" w:styleId="Title">
    <w:name w:val="Title"/>
    <w:basedOn w:val="Normal"/>
    <w:next w:val="Normal"/>
    <w:link w:val="TitleChar"/>
    <w:uiPriority w:val="10"/>
    <w:qFormat/>
    <w:rsid w:val="0078354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78354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8354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78354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78354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78354D"/>
    <w:rPr>
      <w:rFonts w:asciiTheme="majorHAnsi" w:eastAsiaTheme="majorEastAsia" w:hAnsiTheme="majorHAnsi" w:cstheme="majorBidi"/>
      <w:i/>
      <w:iCs/>
      <w:sz w:val="24"/>
      <w:szCs w:val="24"/>
    </w:rPr>
  </w:style>
  <w:style w:type="paragraph" w:styleId="ListParagraph">
    <w:name w:val="List Paragraph"/>
    <w:basedOn w:val="Normal"/>
    <w:uiPriority w:val="34"/>
    <w:qFormat/>
    <w:rsid w:val="00794840"/>
    <w:pPr>
      <w:ind w:left="720"/>
      <w:contextualSpacing/>
    </w:pPr>
  </w:style>
  <w:style w:type="character" w:styleId="IntenseEmphasis">
    <w:name w:val="Intense Emphasis"/>
    <w:basedOn w:val="DefaultParagraphFont"/>
    <w:uiPriority w:val="21"/>
    <w:qFormat/>
    <w:rsid w:val="0078354D"/>
    <w:rPr>
      <w:b/>
      <w:bCs/>
      <w:i/>
      <w:iCs/>
      <w:color w:val="auto"/>
    </w:rPr>
  </w:style>
  <w:style w:type="paragraph" w:styleId="IntenseQuote">
    <w:name w:val="Intense Quote"/>
    <w:basedOn w:val="Normal"/>
    <w:next w:val="Normal"/>
    <w:link w:val="IntenseQuoteChar"/>
    <w:uiPriority w:val="30"/>
    <w:qFormat/>
    <w:rsid w:val="0078354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8354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78354D"/>
    <w:rPr>
      <w:b/>
      <w:bCs/>
      <w:smallCaps/>
      <w:color w:val="auto"/>
      <w:u w:val="single"/>
    </w:rPr>
  </w:style>
  <w:style w:type="paragraph" w:styleId="Caption">
    <w:name w:val="caption"/>
    <w:basedOn w:val="Normal"/>
    <w:next w:val="Normal"/>
    <w:uiPriority w:val="35"/>
    <w:semiHidden/>
    <w:unhideWhenUsed/>
    <w:qFormat/>
    <w:rsid w:val="0078354D"/>
    <w:rPr>
      <w:b/>
      <w:bCs/>
      <w:sz w:val="18"/>
      <w:szCs w:val="18"/>
    </w:rPr>
  </w:style>
  <w:style w:type="character" w:styleId="Strong">
    <w:name w:val="Strong"/>
    <w:basedOn w:val="DefaultParagraphFont"/>
    <w:uiPriority w:val="22"/>
    <w:qFormat/>
    <w:rsid w:val="0078354D"/>
    <w:rPr>
      <w:b/>
      <w:bCs/>
      <w:color w:val="auto"/>
    </w:rPr>
  </w:style>
  <w:style w:type="character" w:styleId="Emphasis">
    <w:name w:val="Emphasis"/>
    <w:basedOn w:val="DefaultParagraphFont"/>
    <w:uiPriority w:val="20"/>
    <w:qFormat/>
    <w:rsid w:val="0078354D"/>
    <w:rPr>
      <w:i/>
      <w:iCs/>
      <w:color w:val="auto"/>
    </w:rPr>
  </w:style>
  <w:style w:type="paragraph" w:styleId="NoSpacing">
    <w:name w:val="No Spacing"/>
    <w:uiPriority w:val="1"/>
    <w:qFormat/>
    <w:rsid w:val="0078354D"/>
    <w:pPr>
      <w:spacing w:after="0" w:line="240" w:lineRule="auto"/>
    </w:pPr>
  </w:style>
  <w:style w:type="character" w:styleId="SubtleEmphasis">
    <w:name w:val="Subtle Emphasis"/>
    <w:basedOn w:val="DefaultParagraphFont"/>
    <w:uiPriority w:val="19"/>
    <w:qFormat/>
    <w:rsid w:val="0078354D"/>
    <w:rPr>
      <w:i/>
      <w:iCs/>
      <w:color w:val="auto"/>
    </w:rPr>
  </w:style>
  <w:style w:type="character" w:styleId="SubtleReference">
    <w:name w:val="Subtle Reference"/>
    <w:basedOn w:val="DefaultParagraphFont"/>
    <w:uiPriority w:val="31"/>
    <w:qFormat/>
    <w:rsid w:val="0078354D"/>
    <w:rPr>
      <w:smallCaps/>
      <w:color w:val="auto"/>
      <w:u w:val="single" w:color="7F7F7F" w:themeColor="text1" w:themeTint="80"/>
    </w:rPr>
  </w:style>
  <w:style w:type="character" w:styleId="BookTitle">
    <w:name w:val="Book Title"/>
    <w:basedOn w:val="DefaultParagraphFont"/>
    <w:uiPriority w:val="33"/>
    <w:qFormat/>
    <w:rsid w:val="0078354D"/>
    <w:rPr>
      <w:b/>
      <w:bCs/>
      <w:smallCaps/>
      <w:color w:val="auto"/>
    </w:rPr>
  </w:style>
  <w:style w:type="paragraph" w:styleId="TOCHeading">
    <w:name w:val="TOC Heading"/>
    <w:basedOn w:val="Heading1"/>
    <w:next w:val="Normal"/>
    <w:uiPriority w:val="39"/>
    <w:unhideWhenUsed/>
    <w:qFormat/>
    <w:rsid w:val="0078354D"/>
    <w:pPr>
      <w:outlineLvl w:val="9"/>
    </w:pPr>
  </w:style>
  <w:style w:type="paragraph" w:styleId="TOC1">
    <w:name w:val="toc 1"/>
    <w:basedOn w:val="Normal"/>
    <w:next w:val="Normal"/>
    <w:autoRedefine/>
    <w:uiPriority w:val="39"/>
    <w:unhideWhenUsed/>
    <w:rsid w:val="00932B56"/>
    <w:pPr>
      <w:spacing w:after="100"/>
    </w:pPr>
  </w:style>
  <w:style w:type="character" w:styleId="Hyperlink">
    <w:name w:val="Hyperlink"/>
    <w:basedOn w:val="DefaultParagraphFont"/>
    <w:uiPriority w:val="99"/>
    <w:unhideWhenUsed/>
    <w:rsid w:val="00932B56"/>
    <w:rPr>
      <w:color w:val="467886" w:themeColor="hyperlink"/>
      <w:u w:val="single"/>
    </w:rPr>
  </w:style>
  <w:style w:type="character" w:styleId="UnresolvedMention">
    <w:name w:val="Unresolved Mention"/>
    <w:basedOn w:val="DefaultParagraphFont"/>
    <w:uiPriority w:val="99"/>
    <w:semiHidden/>
    <w:unhideWhenUsed/>
    <w:rsid w:val="00CE1148"/>
    <w:rPr>
      <w:color w:val="605E5C"/>
      <w:shd w:val="clear" w:color="auto" w:fill="E1DFDD"/>
    </w:rPr>
  </w:style>
  <w:style w:type="table" w:styleId="TableGrid">
    <w:name w:val="Table Grid"/>
    <w:basedOn w:val="TableNormal"/>
    <w:uiPriority w:val="39"/>
    <w:rsid w:val="009E03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BB1A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60E2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i.org/10.3386/w12362" TargetMode="External"/><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s://doi.org/10.1016/j.jfineco.2013.01.00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efalken.com/pdfs/BlitzvanVlietVolatility07.pdf" TargetMode="External"/><Relationship Id="rId25" Type="http://schemas.openxmlformats.org/officeDocument/2006/relationships/hyperlink" Target="https://www.msci.com/documents/10199/ff891dc6-61ac-9d77-1f39-aeb0113a767d"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1016/0304-405x(93)90023-5"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file:///C:/Users/cfawc/Downloads/AQRJPMQuant23FactFictionandFactorInvesting.pdf"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sciencedirect.com/science/article/abs/pii/0022053176900466" TargetMode="External"/><Relationship Id="rId28" Type="http://schemas.openxmlformats.org/officeDocument/2006/relationships/image" Target="media/image15.png"/><Relationship Id="rId10" Type="http://schemas.openxmlformats.org/officeDocument/2006/relationships/image" Target="media/image6.png"/><Relationship Id="rId19" Type="http://schemas.openxmlformats.org/officeDocument/2006/relationships/hyperlink" Target="https://www.jstor.org/stable/232911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i.org/10.2139/ssrn.789804" TargetMode="External"/><Relationship Id="rId27" Type="http://schemas.openxmlformats.org/officeDocument/2006/relationships/image" Target="media/image1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1552</TotalTime>
  <Pages>16</Pages>
  <Words>1712</Words>
  <Characters>13481</Characters>
  <Application>Microsoft Office Word</Application>
  <DocSecurity>0</DocSecurity>
  <Lines>842</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Fawcett</dc:creator>
  <cp:keywords/>
  <dc:description/>
  <cp:lastModifiedBy>Charles Fawcett</cp:lastModifiedBy>
  <cp:revision>119</cp:revision>
  <cp:lastPrinted>2025-10-09T23:42:00Z</cp:lastPrinted>
  <dcterms:created xsi:type="dcterms:W3CDTF">2025-10-09T23:15:00Z</dcterms:created>
  <dcterms:modified xsi:type="dcterms:W3CDTF">2025-11-09T08:54:00Z</dcterms:modified>
</cp:coreProperties>
</file>