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Клитин Николай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Клитин Николай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