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06717" w:rsidRPr="002101B3" w:rsidTr="0056041B">
        <w:tc>
          <w:tcPr>
            <w:tcW w:w="3116" w:type="dxa"/>
            <w:shd w:val="clear" w:color="auto" w:fill="B4C6E7" w:themeFill="accent1" w:themeFillTint="66"/>
          </w:tcPr>
          <w:p w:rsidR="00C06717" w:rsidRPr="00A41E48" w:rsidRDefault="00C06717" w:rsidP="00C06717">
            <w:pPr>
              <w:rPr>
                <w:b/>
                <w:lang w:val="sq-AL"/>
              </w:rPr>
            </w:pPr>
            <w:bookmarkStart w:id="0" w:name="_GoBack"/>
            <w:bookmarkEnd w:id="0"/>
            <w:r w:rsidRPr="00A41E48">
              <w:rPr>
                <w:b/>
                <w:lang w:val="sq-AL"/>
              </w:rPr>
              <w:t>YEAR</w:t>
            </w:r>
          </w:p>
        </w:tc>
        <w:tc>
          <w:tcPr>
            <w:tcW w:w="3117" w:type="dxa"/>
            <w:shd w:val="clear" w:color="auto" w:fill="B4C6E7" w:themeFill="accent1" w:themeFillTint="66"/>
          </w:tcPr>
          <w:p w:rsidR="00C06717" w:rsidRPr="00A41E48" w:rsidRDefault="00C06717" w:rsidP="00C06717">
            <w:pPr>
              <w:rPr>
                <w:b/>
                <w:lang w:val="sq-AL"/>
              </w:rPr>
            </w:pPr>
            <w:r w:rsidRPr="00A41E48">
              <w:rPr>
                <w:b/>
                <w:lang w:val="sq-AL"/>
              </w:rPr>
              <w:t>CODE</w:t>
            </w:r>
          </w:p>
        </w:tc>
        <w:tc>
          <w:tcPr>
            <w:tcW w:w="3117" w:type="dxa"/>
            <w:shd w:val="clear" w:color="auto" w:fill="B4C6E7" w:themeFill="accent1" w:themeFillTint="66"/>
          </w:tcPr>
          <w:p w:rsidR="00C06717" w:rsidRPr="00A41E48" w:rsidRDefault="00C06717" w:rsidP="00C06717">
            <w:pPr>
              <w:rPr>
                <w:b/>
                <w:lang w:val="sq-AL"/>
              </w:rPr>
            </w:pPr>
            <w:r w:rsidRPr="00A41E48">
              <w:rPr>
                <w:b/>
                <w:lang w:val="sq-AL"/>
              </w:rPr>
              <w:t>SUBJECT</w:t>
            </w:r>
          </w:p>
        </w:tc>
      </w:tr>
    </w:tbl>
    <w:p w:rsidR="004C1DB1" w:rsidRPr="002101B3" w:rsidRDefault="00E11DFD" w:rsidP="009D4E9C">
      <w:pPr>
        <w:rPr>
          <w:lang w:val="en-GB"/>
        </w:rPr>
      </w:pPr>
      <w:r w:rsidRPr="002101B3">
        <w:rPr>
          <w:lang w:val="en-GB"/>
        </w:rPr>
        <w:t xml:space="preserve">     1</w:t>
      </w:r>
      <w:r w:rsidRPr="002101B3">
        <w:rPr>
          <w:lang w:val="en-GB"/>
        </w:rPr>
        <w:tab/>
      </w:r>
      <w:r w:rsidRPr="002101B3">
        <w:rPr>
          <w:lang w:val="en-GB"/>
        </w:rPr>
        <w:tab/>
      </w:r>
      <w:r w:rsidRPr="002101B3">
        <w:rPr>
          <w:lang w:val="en-GB"/>
        </w:rPr>
        <w:tab/>
      </w:r>
      <w:r w:rsidRPr="002101B3">
        <w:rPr>
          <w:lang w:val="en-GB"/>
        </w:rPr>
        <w:tab/>
        <w:t xml:space="preserve">  </w:t>
      </w:r>
      <w:r w:rsidR="00C06717" w:rsidRPr="003C7713">
        <w:rPr>
          <w:lang w:val="sq-AL"/>
        </w:rPr>
        <w:t xml:space="preserve"> </w:t>
      </w:r>
      <w:r w:rsidR="00C06717" w:rsidRPr="00BA2A8B">
        <w:rPr>
          <w:lang w:val="sq-AL"/>
        </w:rPr>
        <w:t>0102-101</w:t>
      </w:r>
      <w:r w:rsidRPr="002101B3">
        <w:rPr>
          <w:lang w:val="en-GB"/>
        </w:rPr>
        <w:tab/>
      </w:r>
      <w:r w:rsidRPr="002101B3">
        <w:rPr>
          <w:lang w:val="en-GB"/>
        </w:rPr>
        <w:tab/>
        <w:t xml:space="preserve">          </w:t>
      </w:r>
      <w:r w:rsidR="000F0170" w:rsidRPr="002101B3">
        <w:rPr>
          <w:lang w:val="en-GB"/>
        </w:rPr>
        <w:tab/>
        <w:t xml:space="preserve">          </w:t>
      </w:r>
      <w:r w:rsidRPr="002101B3">
        <w:rPr>
          <w:lang w:val="en-GB"/>
        </w:rPr>
        <w:t xml:space="preserve"> </w:t>
      </w:r>
      <w:r w:rsidR="0068578B" w:rsidRPr="002101B3">
        <w:rPr>
          <w:lang w:val="en-GB"/>
        </w:rPr>
        <w:t>English language for IT</w:t>
      </w:r>
    </w:p>
    <w:p w:rsidR="00C06717" w:rsidRPr="00A41E48" w:rsidRDefault="00C06717" w:rsidP="00C06717">
      <w:pPr>
        <w:shd w:val="clear" w:color="auto" w:fill="B4C6E7" w:themeFill="accent1" w:themeFillTint="66"/>
        <w:rPr>
          <w:b/>
          <w:lang w:val="sq-AL"/>
        </w:rPr>
      </w:pPr>
      <w:r w:rsidRPr="00A41E48">
        <w:rPr>
          <w:b/>
          <w:lang w:val="sq-AL"/>
        </w:rPr>
        <w:t>CONTENT</w:t>
      </w:r>
    </w:p>
    <w:p w:rsidR="0068578B" w:rsidRPr="002101B3" w:rsidRDefault="0068578B" w:rsidP="0068578B">
      <w:pPr>
        <w:rPr>
          <w:lang w:val="en-GB"/>
        </w:rPr>
      </w:pPr>
      <w:r w:rsidRPr="002101B3">
        <w:rPr>
          <w:lang w:val="en-GB"/>
        </w:rPr>
        <w:t>This course will provide theoretical and practical tools to equip students with the substantial knowledge of English language terminology in the fields of Information and Communication Technology, networks and systems.</w:t>
      </w:r>
    </w:p>
    <w:p w:rsidR="00C06717" w:rsidRPr="00A41E48" w:rsidRDefault="00C06717" w:rsidP="00C06717">
      <w:pPr>
        <w:shd w:val="clear" w:color="auto" w:fill="B4C6E7" w:themeFill="accent1" w:themeFillTint="66"/>
        <w:rPr>
          <w:b/>
          <w:lang w:val="sq-AL"/>
        </w:rPr>
      </w:pPr>
      <w:r w:rsidRPr="00A41E48">
        <w:rPr>
          <w:b/>
          <w:lang w:val="sq-AL"/>
        </w:rPr>
        <w:t>PURPOSE</w:t>
      </w:r>
    </w:p>
    <w:p w:rsidR="0068578B" w:rsidRPr="002101B3" w:rsidRDefault="0068578B" w:rsidP="0068578B">
      <w:pPr>
        <w:rPr>
          <w:lang w:val="en-GB"/>
        </w:rPr>
      </w:pPr>
      <w:r w:rsidRPr="002101B3">
        <w:rPr>
          <w:lang w:val="en-GB"/>
        </w:rPr>
        <w:t>The main purpose of this course is to help students be able to globally achieve the communicative language competences at the B2 level (independent users) according to the standards described at the Common European Framework of Reference for Languages.</w:t>
      </w:r>
    </w:p>
    <w:p w:rsidR="00C06717" w:rsidRPr="00A41E48" w:rsidRDefault="00C06717" w:rsidP="00C06717">
      <w:pPr>
        <w:shd w:val="clear" w:color="auto" w:fill="B4C6E7" w:themeFill="accent1" w:themeFillTint="66"/>
        <w:rPr>
          <w:b/>
          <w:lang w:val="sq-AL"/>
        </w:rPr>
      </w:pPr>
      <w:r w:rsidRPr="00A41E48">
        <w:rPr>
          <w:b/>
          <w:lang w:val="sq-AL"/>
        </w:rPr>
        <w:t>MODULE DURATION</w:t>
      </w:r>
    </w:p>
    <w:p w:rsidR="00C06717" w:rsidRPr="003C7713" w:rsidRDefault="00C06717" w:rsidP="00C06717">
      <w:pPr>
        <w:rPr>
          <w:lang w:val="sq-AL"/>
        </w:rPr>
      </w:pPr>
      <w:r w:rsidRPr="0072423D">
        <w:rPr>
          <w:lang w:val="sq-AL"/>
        </w:rPr>
        <w:t>The course will be held during a semester and will have a total of 40 hours of teaching and 20 hours of independent work.</w:t>
      </w:r>
    </w:p>
    <w:p w:rsidR="0056041B" w:rsidRPr="00C06717" w:rsidRDefault="00C06717" w:rsidP="0056041B">
      <w:pPr>
        <w:shd w:val="clear" w:color="auto" w:fill="B4C6E7" w:themeFill="accent1" w:themeFillTint="66"/>
        <w:rPr>
          <w:b/>
          <w:lang w:val="en-GB"/>
        </w:rPr>
      </w:pPr>
      <w:r w:rsidRPr="00C06717">
        <w:rPr>
          <w:b/>
          <w:lang w:val="en-GB"/>
        </w:rPr>
        <w:t>EXPECTED RESULTS</w:t>
      </w:r>
    </w:p>
    <w:p w:rsidR="0068578B" w:rsidRPr="002101B3" w:rsidRDefault="0068578B" w:rsidP="0068578B">
      <w:pPr>
        <w:pStyle w:val="ListParagraph"/>
        <w:numPr>
          <w:ilvl w:val="0"/>
          <w:numId w:val="1"/>
        </w:numPr>
        <w:ind w:left="226" w:hanging="180"/>
        <w:rPr>
          <w:rFonts w:asciiTheme="minorHAnsi" w:hAnsiTheme="minorHAnsi"/>
          <w:lang w:val="en-GB"/>
        </w:rPr>
      </w:pPr>
      <w:r w:rsidRPr="002101B3">
        <w:rPr>
          <w:rFonts w:asciiTheme="minorHAnsi" w:hAnsiTheme="minorHAnsi"/>
          <w:lang w:val="en-GB"/>
        </w:rPr>
        <w:t>Understand the main ideas of the complex text, including technical discussions in the field of ICT.</w:t>
      </w:r>
    </w:p>
    <w:p w:rsidR="0068578B" w:rsidRPr="002101B3" w:rsidRDefault="0068578B" w:rsidP="0068578B">
      <w:pPr>
        <w:pStyle w:val="ListParagraph"/>
        <w:numPr>
          <w:ilvl w:val="0"/>
          <w:numId w:val="1"/>
        </w:numPr>
        <w:ind w:left="226" w:hanging="180"/>
        <w:rPr>
          <w:rFonts w:asciiTheme="minorHAnsi" w:hAnsiTheme="minorHAnsi"/>
          <w:lang w:val="en-GB"/>
        </w:rPr>
      </w:pPr>
      <w:r w:rsidRPr="002101B3">
        <w:rPr>
          <w:rFonts w:asciiTheme="minorHAnsi" w:hAnsiTheme="minorHAnsi"/>
          <w:lang w:val="en-GB"/>
        </w:rPr>
        <w:t>Interact with a degree of fluency that makes regular interaction possible with native speakers.</w:t>
      </w:r>
    </w:p>
    <w:p w:rsidR="0068578B" w:rsidRPr="002101B3" w:rsidRDefault="0068578B" w:rsidP="0068578B">
      <w:pPr>
        <w:pStyle w:val="ListParagraph"/>
        <w:numPr>
          <w:ilvl w:val="0"/>
          <w:numId w:val="1"/>
        </w:numPr>
        <w:ind w:left="226" w:hanging="180"/>
        <w:rPr>
          <w:rFonts w:asciiTheme="minorHAnsi" w:hAnsiTheme="minorHAnsi"/>
          <w:lang w:val="en-GB"/>
        </w:rPr>
      </w:pPr>
      <w:r w:rsidRPr="002101B3">
        <w:rPr>
          <w:rFonts w:asciiTheme="minorHAnsi" w:hAnsiTheme="minorHAnsi"/>
          <w:lang w:val="en-GB"/>
        </w:rPr>
        <w:t>Produce clear, detailed text on a wide range of subjects and explain a view point on topical issues.</w:t>
      </w:r>
    </w:p>
    <w:p w:rsidR="0068578B" w:rsidRPr="002101B3" w:rsidRDefault="0068578B" w:rsidP="0068578B">
      <w:pPr>
        <w:pStyle w:val="ListParagraph"/>
        <w:numPr>
          <w:ilvl w:val="0"/>
          <w:numId w:val="1"/>
        </w:numPr>
        <w:ind w:left="226" w:hanging="180"/>
        <w:rPr>
          <w:rFonts w:asciiTheme="minorHAnsi" w:hAnsiTheme="minorHAnsi"/>
          <w:lang w:val="en-GB"/>
        </w:rPr>
      </w:pPr>
      <w:r w:rsidRPr="002101B3">
        <w:rPr>
          <w:rFonts w:asciiTheme="minorHAnsi" w:hAnsiTheme="minorHAnsi"/>
          <w:lang w:val="en-GB"/>
        </w:rPr>
        <w:t>Use English language vocabulary and phraseology related to the specific professional field of interest in Information and Communication Technology in the oral and written form.</w:t>
      </w:r>
    </w:p>
    <w:p w:rsidR="0068578B" w:rsidRPr="002101B3" w:rsidRDefault="0068578B" w:rsidP="0068578B">
      <w:pPr>
        <w:pStyle w:val="ListParagraph"/>
        <w:numPr>
          <w:ilvl w:val="0"/>
          <w:numId w:val="1"/>
        </w:numPr>
        <w:ind w:left="226" w:hanging="180"/>
        <w:rPr>
          <w:lang w:val="en-GB"/>
        </w:rPr>
      </w:pPr>
      <w:r w:rsidRPr="002101B3">
        <w:rPr>
          <w:rFonts w:asciiTheme="minorHAnsi" w:hAnsiTheme="minorHAnsi"/>
          <w:lang w:val="en-GB"/>
        </w:rPr>
        <w:t xml:space="preserve">Write in English issues linked with business correspondence, prepare their own CV, apply for a job vacancy, write a letter of complaint, and develop simple reports in Standard English. </w:t>
      </w:r>
    </w:p>
    <w:p w:rsidR="0068578B" w:rsidRPr="002101B3" w:rsidRDefault="0068578B" w:rsidP="0068578B">
      <w:pPr>
        <w:pStyle w:val="ListParagraph"/>
        <w:ind w:left="226"/>
        <w:rPr>
          <w:lang w:val="en-GB"/>
        </w:rPr>
      </w:pPr>
    </w:p>
    <w:p w:rsidR="00C06717" w:rsidRPr="00A41E48" w:rsidRDefault="00C06717" w:rsidP="00C06717">
      <w:pPr>
        <w:shd w:val="clear" w:color="auto" w:fill="B4C6E7" w:themeFill="accent1" w:themeFillTint="66"/>
        <w:rPr>
          <w:b/>
          <w:lang w:val="sq-AL"/>
        </w:rPr>
      </w:pPr>
      <w:r w:rsidRPr="00A41E48">
        <w:rPr>
          <w:b/>
          <w:lang w:val="sq-AL"/>
        </w:rPr>
        <w:t>TEACHING METHODOLOGY</w:t>
      </w:r>
    </w:p>
    <w:p w:rsidR="00E11DFD" w:rsidRPr="002101B3" w:rsidRDefault="0068578B" w:rsidP="00626D85">
      <w:pPr>
        <w:rPr>
          <w:lang w:val="en-GB"/>
        </w:rPr>
      </w:pPr>
      <w:r w:rsidRPr="002101B3">
        <w:rPr>
          <w:lang w:val="en-GB"/>
        </w:rPr>
        <w:t>Exercises, assignments, presentations, projects, group work, discussions, debates, simulations, role play, etc.</w:t>
      </w:r>
    </w:p>
    <w:p w:rsidR="00626D85" w:rsidRPr="00C06717" w:rsidRDefault="00C06717" w:rsidP="00E11DFD">
      <w:pPr>
        <w:shd w:val="clear" w:color="auto" w:fill="B4C6E7" w:themeFill="accent1" w:themeFillTint="66"/>
        <w:rPr>
          <w:b/>
          <w:lang w:val="sq-AL"/>
        </w:rPr>
      </w:pPr>
      <w:r w:rsidRPr="00A41E48">
        <w:rPr>
          <w:b/>
          <w:lang w:val="sq-AL"/>
        </w:rPr>
        <w:t>EVALUATION</w:t>
      </w:r>
    </w:p>
    <w:p w:rsidR="002101B3" w:rsidRDefault="002101B3" w:rsidP="0068578B">
      <w:pPr>
        <w:spacing w:after="0"/>
        <w:rPr>
          <w:lang w:val="en-GB"/>
        </w:rPr>
      </w:pPr>
    </w:p>
    <w:p w:rsidR="00626D85" w:rsidRPr="002101B3" w:rsidRDefault="0068578B" w:rsidP="0068578B">
      <w:pPr>
        <w:spacing w:after="0"/>
        <w:rPr>
          <w:lang w:val="en-GB"/>
        </w:rPr>
      </w:pPr>
      <w:r w:rsidRPr="002101B3">
        <w:rPr>
          <w:lang w:val="en-GB"/>
        </w:rPr>
        <w:t xml:space="preserve">Attendance </w:t>
      </w:r>
      <w:r w:rsidRPr="002101B3">
        <w:rPr>
          <w:lang w:val="en-GB"/>
        </w:rPr>
        <w:tab/>
      </w:r>
      <w:r w:rsidRPr="002101B3">
        <w:rPr>
          <w:lang w:val="en-GB"/>
        </w:rPr>
        <w:tab/>
      </w:r>
      <w:r w:rsidRPr="002101B3">
        <w:rPr>
          <w:lang w:val="en-GB"/>
        </w:rPr>
        <w:tab/>
        <w:t>10%</w:t>
      </w:r>
    </w:p>
    <w:p w:rsidR="0068578B" w:rsidRPr="002101B3" w:rsidRDefault="0068578B" w:rsidP="0068578B">
      <w:pPr>
        <w:spacing w:after="0"/>
        <w:rPr>
          <w:lang w:val="en-GB"/>
        </w:rPr>
      </w:pPr>
      <w:r w:rsidRPr="002101B3">
        <w:rPr>
          <w:lang w:val="en-GB"/>
        </w:rPr>
        <w:t xml:space="preserve">Assignment 1 </w:t>
      </w:r>
      <w:r w:rsidRPr="002101B3">
        <w:rPr>
          <w:lang w:val="en-GB"/>
        </w:rPr>
        <w:tab/>
      </w:r>
      <w:r w:rsidRPr="002101B3">
        <w:rPr>
          <w:lang w:val="en-GB"/>
        </w:rPr>
        <w:tab/>
      </w:r>
      <w:r w:rsidRPr="002101B3">
        <w:rPr>
          <w:lang w:val="en-GB"/>
        </w:rPr>
        <w:tab/>
        <w:t>10%</w:t>
      </w:r>
    </w:p>
    <w:p w:rsidR="00E11DFD" w:rsidRPr="002101B3" w:rsidRDefault="0068578B" w:rsidP="0068578B">
      <w:pPr>
        <w:spacing w:after="0"/>
        <w:rPr>
          <w:lang w:val="en-GB"/>
        </w:rPr>
      </w:pPr>
      <w:r w:rsidRPr="002101B3">
        <w:rPr>
          <w:lang w:val="en-GB"/>
        </w:rPr>
        <w:t xml:space="preserve">Assignment 2 </w:t>
      </w:r>
      <w:r w:rsidRPr="002101B3">
        <w:rPr>
          <w:lang w:val="en-GB"/>
        </w:rPr>
        <w:tab/>
      </w:r>
      <w:r w:rsidRPr="002101B3">
        <w:rPr>
          <w:lang w:val="en-GB"/>
        </w:rPr>
        <w:tab/>
      </w:r>
      <w:r w:rsidRPr="002101B3">
        <w:rPr>
          <w:lang w:val="en-GB"/>
        </w:rPr>
        <w:tab/>
        <w:t>10%</w:t>
      </w:r>
    </w:p>
    <w:p w:rsidR="0068578B" w:rsidRPr="002101B3" w:rsidRDefault="0068578B" w:rsidP="0068578B">
      <w:pPr>
        <w:spacing w:after="0"/>
        <w:rPr>
          <w:lang w:val="en-GB"/>
        </w:rPr>
      </w:pPr>
      <w:r w:rsidRPr="002101B3">
        <w:rPr>
          <w:lang w:val="en-GB"/>
        </w:rPr>
        <w:t xml:space="preserve">Assignment 3 </w:t>
      </w:r>
      <w:r w:rsidRPr="002101B3">
        <w:rPr>
          <w:lang w:val="en-GB"/>
        </w:rPr>
        <w:tab/>
      </w:r>
      <w:r w:rsidRPr="002101B3">
        <w:rPr>
          <w:lang w:val="en-GB"/>
        </w:rPr>
        <w:tab/>
      </w:r>
      <w:r w:rsidRPr="002101B3">
        <w:rPr>
          <w:lang w:val="en-GB"/>
        </w:rPr>
        <w:tab/>
        <w:t>10%</w:t>
      </w:r>
    </w:p>
    <w:p w:rsidR="0068578B" w:rsidRPr="002101B3" w:rsidRDefault="0068578B" w:rsidP="0068578B">
      <w:pPr>
        <w:spacing w:after="0"/>
        <w:rPr>
          <w:lang w:val="en-GB"/>
        </w:rPr>
      </w:pPr>
      <w:r w:rsidRPr="002101B3">
        <w:rPr>
          <w:lang w:val="en-GB"/>
        </w:rPr>
        <w:t xml:space="preserve">Test 1 </w:t>
      </w:r>
      <w:r w:rsidRPr="002101B3">
        <w:rPr>
          <w:lang w:val="en-GB"/>
        </w:rPr>
        <w:tab/>
      </w:r>
      <w:r w:rsidRPr="002101B3">
        <w:rPr>
          <w:lang w:val="en-GB"/>
        </w:rPr>
        <w:tab/>
      </w:r>
      <w:r w:rsidRPr="002101B3">
        <w:rPr>
          <w:lang w:val="en-GB"/>
        </w:rPr>
        <w:tab/>
      </w:r>
      <w:r w:rsidRPr="002101B3">
        <w:rPr>
          <w:lang w:val="en-GB"/>
        </w:rPr>
        <w:tab/>
        <w:t>15%</w:t>
      </w:r>
    </w:p>
    <w:p w:rsidR="0068578B" w:rsidRPr="002101B3" w:rsidRDefault="0068578B" w:rsidP="0068578B">
      <w:pPr>
        <w:spacing w:after="0"/>
        <w:rPr>
          <w:lang w:val="en-GB"/>
        </w:rPr>
      </w:pPr>
      <w:r w:rsidRPr="002101B3">
        <w:rPr>
          <w:lang w:val="en-GB"/>
        </w:rPr>
        <w:t xml:space="preserve">Test 2  </w:t>
      </w:r>
      <w:r w:rsidRPr="002101B3">
        <w:rPr>
          <w:lang w:val="en-GB"/>
        </w:rPr>
        <w:tab/>
      </w:r>
      <w:r w:rsidRPr="002101B3">
        <w:rPr>
          <w:lang w:val="en-GB"/>
        </w:rPr>
        <w:tab/>
      </w:r>
      <w:r w:rsidRPr="002101B3">
        <w:rPr>
          <w:lang w:val="en-GB"/>
        </w:rPr>
        <w:tab/>
      </w:r>
      <w:r w:rsidRPr="002101B3">
        <w:rPr>
          <w:lang w:val="en-GB"/>
        </w:rPr>
        <w:tab/>
        <w:t>15%</w:t>
      </w:r>
    </w:p>
    <w:p w:rsidR="0068578B" w:rsidRPr="002101B3" w:rsidRDefault="0068578B" w:rsidP="0068578B">
      <w:pPr>
        <w:spacing w:after="0"/>
        <w:rPr>
          <w:lang w:val="en-GB"/>
        </w:rPr>
      </w:pPr>
      <w:r w:rsidRPr="002101B3">
        <w:rPr>
          <w:lang w:val="en-GB"/>
        </w:rPr>
        <w:t xml:space="preserve">Final test </w:t>
      </w:r>
      <w:r w:rsidRPr="002101B3">
        <w:rPr>
          <w:lang w:val="en-GB"/>
        </w:rPr>
        <w:tab/>
      </w:r>
      <w:r w:rsidRPr="002101B3">
        <w:rPr>
          <w:lang w:val="en-GB"/>
        </w:rPr>
        <w:tab/>
      </w:r>
      <w:r w:rsidRPr="002101B3">
        <w:rPr>
          <w:lang w:val="en-GB"/>
        </w:rPr>
        <w:tab/>
        <w:t>30%</w:t>
      </w:r>
    </w:p>
    <w:p w:rsidR="002101B3" w:rsidRPr="002101B3" w:rsidRDefault="002101B3" w:rsidP="0068578B">
      <w:pPr>
        <w:spacing w:after="0"/>
        <w:rPr>
          <w:lang w:val="en-GB"/>
        </w:rPr>
      </w:pPr>
    </w:p>
    <w:p w:rsidR="002101B3" w:rsidRPr="002101B3" w:rsidRDefault="002101B3" w:rsidP="002101B3">
      <w:pPr>
        <w:pStyle w:val="NoSpacing"/>
        <w:rPr>
          <w:rFonts w:asciiTheme="minorHAnsi" w:hAnsiTheme="minorHAnsi" w:cs="Arial"/>
          <w:sz w:val="22"/>
          <w:szCs w:val="22"/>
          <w:u w:val="single"/>
          <w:lang w:val="en-GB"/>
        </w:rPr>
      </w:pPr>
      <w:r w:rsidRPr="002101B3">
        <w:rPr>
          <w:rFonts w:asciiTheme="minorHAnsi" w:hAnsiTheme="minorHAnsi"/>
          <w:sz w:val="22"/>
          <w:szCs w:val="22"/>
          <w:u w:val="single"/>
          <w:lang w:val="en-GB"/>
        </w:rPr>
        <w:lastRenderedPageBreak/>
        <w:t>Assignment policy</w:t>
      </w:r>
      <w:r w:rsidRPr="002101B3">
        <w:rPr>
          <w:rFonts w:asciiTheme="minorHAnsi" w:hAnsiTheme="minorHAnsi" w:cs="Arial"/>
          <w:sz w:val="22"/>
          <w:szCs w:val="22"/>
          <w:u w:val="single"/>
          <w:lang w:val="en-GB"/>
        </w:rPr>
        <w:t>:</w:t>
      </w:r>
    </w:p>
    <w:p w:rsidR="002101B3" w:rsidRPr="002101B3" w:rsidRDefault="002101B3" w:rsidP="002101B3">
      <w:pPr>
        <w:pStyle w:val="m4955976426812627119msolistparagraph"/>
        <w:shd w:val="clear" w:color="auto" w:fill="FFFFFF"/>
        <w:spacing w:before="0" w:beforeAutospacing="0" w:after="0" w:afterAutospacing="0"/>
        <w:rPr>
          <w:rFonts w:asciiTheme="minorHAnsi" w:hAnsiTheme="minorHAnsi" w:cs="Calibri"/>
          <w:sz w:val="22"/>
          <w:szCs w:val="22"/>
          <w:lang w:val="en-GB"/>
        </w:rPr>
      </w:pPr>
      <w:r w:rsidRPr="002101B3">
        <w:rPr>
          <w:rFonts w:asciiTheme="minorHAnsi" w:hAnsiTheme="minorHAnsi"/>
          <w:color w:val="000000"/>
          <w:sz w:val="22"/>
          <w:szCs w:val="22"/>
          <w:lang w:val="en-GB"/>
        </w:rPr>
        <w:t>Late submission of the assignments will result in the following penalties as:</w:t>
      </w:r>
    </w:p>
    <w:p w:rsidR="002101B3" w:rsidRPr="002101B3" w:rsidRDefault="002101B3" w:rsidP="002101B3">
      <w:pPr>
        <w:pStyle w:val="m4955976426812627119msolistparagraph"/>
        <w:numPr>
          <w:ilvl w:val="0"/>
          <w:numId w:val="3"/>
        </w:numPr>
        <w:shd w:val="clear" w:color="auto" w:fill="FFFFFF"/>
        <w:spacing w:before="0" w:beforeAutospacing="0" w:after="0" w:afterAutospacing="0"/>
        <w:ind w:left="346" w:hanging="270"/>
        <w:rPr>
          <w:rFonts w:asciiTheme="minorHAnsi" w:hAnsiTheme="minorHAnsi"/>
          <w:sz w:val="22"/>
          <w:szCs w:val="22"/>
          <w:lang w:val="en-GB"/>
        </w:rPr>
      </w:pPr>
      <w:r w:rsidRPr="002101B3">
        <w:rPr>
          <w:rFonts w:asciiTheme="minorHAnsi" w:hAnsiTheme="minorHAnsi"/>
          <w:sz w:val="22"/>
          <w:szCs w:val="22"/>
          <w:lang w:val="en-GB"/>
        </w:rPr>
        <w:t>One day of delay – 10% downgrading</w:t>
      </w:r>
    </w:p>
    <w:p w:rsidR="002101B3" w:rsidRPr="002101B3" w:rsidRDefault="002101B3" w:rsidP="002101B3">
      <w:pPr>
        <w:pStyle w:val="m4955976426812627119msolistparagraph"/>
        <w:numPr>
          <w:ilvl w:val="0"/>
          <w:numId w:val="3"/>
        </w:numPr>
        <w:shd w:val="clear" w:color="auto" w:fill="FFFFFF"/>
        <w:spacing w:before="0" w:beforeAutospacing="0" w:after="0" w:afterAutospacing="0"/>
        <w:ind w:left="346" w:hanging="270"/>
        <w:rPr>
          <w:rFonts w:asciiTheme="minorHAnsi" w:hAnsiTheme="minorHAnsi"/>
          <w:sz w:val="22"/>
          <w:szCs w:val="22"/>
          <w:lang w:val="en-GB"/>
        </w:rPr>
      </w:pPr>
      <w:r w:rsidRPr="002101B3">
        <w:rPr>
          <w:rFonts w:asciiTheme="minorHAnsi" w:hAnsiTheme="minorHAnsi"/>
          <w:sz w:val="22"/>
          <w:szCs w:val="22"/>
          <w:lang w:val="en-GB"/>
        </w:rPr>
        <w:t xml:space="preserve">Two days of delay – 20% downgrading </w:t>
      </w:r>
    </w:p>
    <w:p w:rsidR="002101B3" w:rsidRPr="002101B3" w:rsidRDefault="002101B3" w:rsidP="002101B3">
      <w:pPr>
        <w:pStyle w:val="m4955976426812627119msolistparagraph"/>
        <w:numPr>
          <w:ilvl w:val="0"/>
          <w:numId w:val="3"/>
        </w:numPr>
        <w:shd w:val="clear" w:color="auto" w:fill="FFFFFF"/>
        <w:spacing w:before="0" w:beforeAutospacing="0" w:after="0" w:afterAutospacing="0"/>
        <w:ind w:left="346" w:hanging="270"/>
        <w:rPr>
          <w:rFonts w:asciiTheme="minorHAnsi" w:hAnsiTheme="minorHAnsi" w:cs="Arial"/>
          <w:sz w:val="22"/>
          <w:szCs w:val="22"/>
          <w:lang w:val="en-GB"/>
        </w:rPr>
      </w:pPr>
      <w:r w:rsidRPr="002101B3">
        <w:rPr>
          <w:rFonts w:asciiTheme="minorHAnsi" w:hAnsiTheme="minorHAnsi"/>
          <w:sz w:val="22"/>
          <w:szCs w:val="22"/>
          <w:lang w:val="en-GB"/>
        </w:rPr>
        <w:t>Three days plus delay – the assignment will not be accepted</w:t>
      </w:r>
    </w:p>
    <w:p w:rsidR="002101B3" w:rsidRPr="002101B3" w:rsidRDefault="002101B3" w:rsidP="0068578B">
      <w:pPr>
        <w:spacing w:after="0"/>
        <w:rPr>
          <w:lang w:val="en-GB"/>
        </w:rPr>
      </w:pPr>
    </w:p>
    <w:p w:rsidR="0068578B" w:rsidRPr="002101B3" w:rsidRDefault="0068578B" w:rsidP="0068578B">
      <w:pPr>
        <w:spacing w:after="0"/>
        <w:rPr>
          <w:lang w:val="en-GB"/>
        </w:rPr>
      </w:pPr>
    </w:p>
    <w:p w:rsidR="00C06717" w:rsidRPr="00A41E48" w:rsidRDefault="00C06717" w:rsidP="00C06717">
      <w:pPr>
        <w:shd w:val="clear" w:color="auto" w:fill="B4C6E7" w:themeFill="accent1" w:themeFillTint="66"/>
        <w:rPr>
          <w:b/>
          <w:lang w:val="sq-AL"/>
        </w:rPr>
      </w:pPr>
      <w:r w:rsidRPr="00A41E48">
        <w:rPr>
          <w:b/>
          <w:lang w:val="sq-AL"/>
        </w:rPr>
        <w:t>THE THEORETICAL AND PRACTICAL PART OF TEACHING</w:t>
      </w:r>
    </w:p>
    <w:p w:rsidR="00E11DFD" w:rsidRPr="002101B3" w:rsidRDefault="0068578B" w:rsidP="00626D85">
      <w:pPr>
        <w:rPr>
          <w:lang w:val="en-GB"/>
        </w:rPr>
      </w:pPr>
      <w:r w:rsidRPr="002101B3">
        <w:rPr>
          <w:lang w:val="en-GB"/>
        </w:rPr>
        <w:t xml:space="preserve">The course is designed to combine theoretical and practical part throughout the lessons. </w:t>
      </w:r>
      <w:r w:rsidR="00821893" w:rsidRPr="002101B3">
        <w:rPr>
          <w:lang w:val="en-GB"/>
        </w:rPr>
        <w:t xml:space="preserve">The combination of lecture and practice will be carried out in listening, speaking, reading and writing exercises. </w:t>
      </w:r>
    </w:p>
    <w:p w:rsidR="00C06717" w:rsidRPr="00A41E48" w:rsidRDefault="00C06717" w:rsidP="00C06717">
      <w:pPr>
        <w:shd w:val="clear" w:color="auto" w:fill="B4C6E7" w:themeFill="accent1" w:themeFillTint="66"/>
        <w:rPr>
          <w:b/>
          <w:lang w:val="sq-AL"/>
        </w:rPr>
      </w:pPr>
      <w:r w:rsidRPr="00A41E48">
        <w:rPr>
          <w:b/>
          <w:lang w:val="sq-AL"/>
        </w:rPr>
        <w:t>THE MEANS OF CONCRETIZATION</w:t>
      </w:r>
    </w:p>
    <w:p w:rsidR="00E11DFD" w:rsidRPr="002101B3" w:rsidRDefault="00821893" w:rsidP="00626D85">
      <w:pPr>
        <w:rPr>
          <w:lang w:val="en-GB"/>
        </w:rPr>
      </w:pPr>
      <w:r w:rsidRPr="002101B3">
        <w:rPr>
          <w:lang w:val="en-GB"/>
        </w:rPr>
        <w:t xml:space="preserve">PPT, online news articles, online videos, printed articles, etc. </w:t>
      </w:r>
    </w:p>
    <w:p w:rsidR="00821893" w:rsidRPr="002101B3" w:rsidRDefault="00C06717" w:rsidP="00821893">
      <w:pPr>
        <w:shd w:val="clear" w:color="auto" w:fill="B4C6E7" w:themeFill="accent1" w:themeFillTint="66"/>
        <w:tabs>
          <w:tab w:val="right" w:pos="9360"/>
        </w:tabs>
        <w:rPr>
          <w:lang w:val="en-GB"/>
        </w:rPr>
      </w:pPr>
      <w:r w:rsidRPr="00A41E48">
        <w:rPr>
          <w:b/>
          <w:lang w:val="sq-AL"/>
        </w:rPr>
        <w:t>LITERATURE</w:t>
      </w:r>
      <w:r w:rsidR="00821893" w:rsidRPr="002101B3">
        <w:rPr>
          <w:lang w:val="en-GB"/>
        </w:rPr>
        <w:tab/>
      </w:r>
    </w:p>
    <w:p w:rsidR="00821893" w:rsidRPr="002101B3" w:rsidRDefault="00821893" w:rsidP="00821893">
      <w:pPr>
        <w:pStyle w:val="BodyText"/>
        <w:numPr>
          <w:ilvl w:val="0"/>
          <w:numId w:val="2"/>
        </w:numPr>
        <w:rPr>
          <w:rFonts w:asciiTheme="minorHAnsi" w:eastAsia="MS Mincho" w:hAnsiTheme="minorHAnsi"/>
          <w:sz w:val="22"/>
          <w:szCs w:val="22"/>
          <w:lang w:val="en-GB" w:eastAsia="ja-JP"/>
        </w:rPr>
      </w:pPr>
      <w:r w:rsidRPr="002101B3">
        <w:rPr>
          <w:rFonts w:asciiTheme="minorHAnsi" w:eastAsia="MS Mincho" w:hAnsiTheme="minorHAnsi"/>
          <w:sz w:val="22"/>
          <w:szCs w:val="22"/>
          <w:lang w:val="en-GB" w:eastAsia="ja-JP"/>
        </w:rPr>
        <w:t>English for Skills, Vocational English for ICT, British Council Albania, May 2012.</w:t>
      </w:r>
    </w:p>
    <w:p w:rsidR="00821893" w:rsidRPr="002101B3" w:rsidRDefault="00821893" w:rsidP="00821893">
      <w:pPr>
        <w:pStyle w:val="BodyText"/>
        <w:numPr>
          <w:ilvl w:val="0"/>
          <w:numId w:val="2"/>
        </w:numPr>
        <w:rPr>
          <w:rFonts w:asciiTheme="minorHAnsi" w:eastAsia="MS Mincho" w:hAnsiTheme="minorHAnsi"/>
          <w:sz w:val="22"/>
          <w:szCs w:val="22"/>
          <w:lang w:val="en-GB" w:eastAsia="ja-JP"/>
        </w:rPr>
      </w:pPr>
      <w:r w:rsidRPr="002101B3">
        <w:rPr>
          <w:rFonts w:asciiTheme="minorHAnsi" w:eastAsia="MS Mincho" w:hAnsiTheme="minorHAnsi"/>
          <w:sz w:val="22"/>
          <w:szCs w:val="22"/>
          <w:lang w:val="en-GB" w:eastAsia="ja-JP"/>
        </w:rPr>
        <w:t xml:space="preserve">English for </w:t>
      </w:r>
      <w:r w:rsidRPr="002101B3">
        <w:rPr>
          <w:rFonts w:ascii="Calibri" w:hAnsi="Calibri"/>
          <w:sz w:val="22"/>
          <w:szCs w:val="22"/>
          <w:lang w:val="en-GB"/>
        </w:rPr>
        <w:t>Skills</w:t>
      </w:r>
      <w:r w:rsidRPr="002101B3">
        <w:rPr>
          <w:rFonts w:asciiTheme="minorHAnsi" w:eastAsia="MS Mincho" w:hAnsiTheme="minorHAnsi"/>
          <w:sz w:val="22"/>
          <w:szCs w:val="22"/>
          <w:lang w:val="en-GB" w:eastAsia="ja-JP"/>
        </w:rPr>
        <w:t xml:space="preserve"> 2, Vocational English for ICT, British Council Albania, April, 2013.</w:t>
      </w:r>
    </w:p>
    <w:p w:rsidR="00821893" w:rsidRPr="002101B3" w:rsidRDefault="00821893" w:rsidP="00821893">
      <w:pPr>
        <w:rPr>
          <w:lang w:val="en-GB"/>
        </w:rPr>
      </w:pPr>
    </w:p>
    <w:sectPr w:rsidR="00821893" w:rsidRPr="002101B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0566" w:rsidRDefault="00530566" w:rsidP="009D4E9C">
      <w:pPr>
        <w:spacing w:after="0" w:line="240" w:lineRule="auto"/>
      </w:pPr>
      <w:r>
        <w:separator/>
      </w:r>
    </w:p>
  </w:endnote>
  <w:endnote w:type="continuationSeparator" w:id="0">
    <w:p w:rsidR="00530566" w:rsidRDefault="00530566" w:rsidP="009D4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0566" w:rsidRDefault="00530566" w:rsidP="009D4E9C">
      <w:pPr>
        <w:spacing w:after="0" w:line="240" w:lineRule="auto"/>
      </w:pPr>
      <w:r>
        <w:separator/>
      </w:r>
    </w:p>
  </w:footnote>
  <w:footnote w:type="continuationSeparator" w:id="0">
    <w:p w:rsidR="00530566" w:rsidRDefault="00530566" w:rsidP="009D4E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A0E33"/>
    <w:multiLevelType w:val="hybridMultilevel"/>
    <w:tmpl w:val="F9F4B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A0E2A"/>
    <w:multiLevelType w:val="hybridMultilevel"/>
    <w:tmpl w:val="EAA0C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147A3C"/>
    <w:multiLevelType w:val="hybridMultilevel"/>
    <w:tmpl w:val="2FCC1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DB1"/>
    <w:rsid w:val="00015BA7"/>
    <w:rsid w:val="000F0170"/>
    <w:rsid w:val="002101B3"/>
    <w:rsid w:val="003A77AB"/>
    <w:rsid w:val="004C1DB1"/>
    <w:rsid w:val="004D3F9B"/>
    <w:rsid w:val="00530566"/>
    <w:rsid w:val="0056041B"/>
    <w:rsid w:val="00626D85"/>
    <w:rsid w:val="0068578B"/>
    <w:rsid w:val="00821893"/>
    <w:rsid w:val="008B3376"/>
    <w:rsid w:val="009D4E9C"/>
    <w:rsid w:val="00B15E09"/>
    <w:rsid w:val="00C06717"/>
    <w:rsid w:val="00C21D99"/>
    <w:rsid w:val="00E11DFD"/>
    <w:rsid w:val="00EA426F"/>
    <w:rsid w:val="00EB6B4C"/>
    <w:rsid w:val="00F62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31B2FB-5CE0-4593-8B0E-547A89D3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4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68578B"/>
    <w:pPr>
      <w:spacing w:after="0" w:line="240" w:lineRule="auto"/>
      <w:ind w:left="720"/>
      <w:contextualSpacing/>
    </w:pPr>
    <w:rPr>
      <w:rFonts w:ascii="Times New Roman" w:eastAsia="Times New Roman" w:hAnsi="Times New Roman" w:cs="Times New Roman"/>
      <w:sz w:val="24"/>
      <w:szCs w:val="24"/>
    </w:rPr>
  </w:style>
  <w:style w:type="paragraph" w:styleId="BodyText">
    <w:name w:val="Body Text"/>
    <w:basedOn w:val="Normal"/>
    <w:link w:val="BodyTextChar"/>
    <w:uiPriority w:val="99"/>
    <w:rsid w:val="00821893"/>
    <w:pPr>
      <w:spacing w:after="12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99"/>
    <w:rsid w:val="00821893"/>
    <w:rPr>
      <w:rFonts w:ascii="Times New Roman" w:eastAsia="Times New Roman" w:hAnsi="Times New Roman" w:cs="Times New Roman"/>
      <w:sz w:val="20"/>
      <w:szCs w:val="20"/>
    </w:rPr>
  </w:style>
  <w:style w:type="paragraph" w:styleId="NoSpacing">
    <w:name w:val="No Spacing"/>
    <w:uiPriority w:val="1"/>
    <w:qFormat/>
    <w:rsid w:val="002101B3"/>
    <w:pPr>
      <w:spacing w:after="0" w:line="240" w:lineRule="auto"/>
    </w:pPr>
    <w:rPr>
      <w:rFonts w:ascii="Times New Roman" w:eastAsia="Times New Roman" w:hAnsi="Times New Roman" w:cs="Times New Roman"/>
      <w:sz w:val="24"/>
      <w:szCs w:val="24"/>
    </w:rPr>
  </w:style>
  <w:style w:type="paragraph" w:customStyle="1" w:styleId="m4955976426812627119msolistparagraph">
    <w:name w:val="m_4955976426812627119msolistparagraph"/>
    <w:basedOn w:val="Normal"/>
    <w:rsid w:val="002101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Vildane</dc:creator>
  <cp:keywords/>
  <dc:description/>
  <cp:lastModifiedBy>VjosaO</cp:lastModifiedBy>
  <cp:revision>2</cp:revision>
  <dcterms:created xsi:type="dcterms:W3CDTF">2019-07-03T10:52:00Z</dcterms:created>
  <dcterms:modified xsi:type="dcterms:W3CDTF">2019-07-03T10:52:00Z</dcterms:modified>
</cp:coreProperties>
</file>