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68"/>
        </w:rPr>
        <w:t>SCANNER URL OPENER</w:t>
      </w:r>
    </w:p>
    <w:p>
      <w:pPr>
        <w:jc w:val="center"/>
      </w:pPr>
      <w:r>
        <w:rPr>
          <w:color w:val="365F91"/>
          <w:sz w:val="38"/>
        </w:rPr>
        <w:t>Entwicklerdokumentation</w:t>
      </w:r>
    </w:p>
    <w:p>
      <w:pPr>
        <w:spacing w:before="700"/>
        <w:jc w:val="center"/>
      </w:pPr>
      <w:r>
        <w:rPr>
          <w:sz w:val="25"/>
        </w:rPr>
        <w:t>Architektur · Raw Input · Gerätekonfiguration · Sicherheit · Tests · Deployment</w:t>
      </w:r>
    </w:p>
    <w:p>
      <w:pPr>
        <w:spacing w:before="1300"/>
        <w:jc w:val="center"/>
      </w:pPr>
      <w:r>
        <w:t>Technologie: C# · .NET 8 · Windows Forms</w:t>
        <w:br/>
        <w:t>Zielplattform: Windows 10/11 x64</w:t>
        <w:br/>
        <w:t>Dokumenttyp: Technische Übergabe- und Wartungsdokumentation</w:t>
      </w:r>
    </w:p>
    <w:p>
      <w:r>
        <w:br w:type="page"/>
      </w:r>
    </w:p>
    <w:tbl>
      <w:tblPr>
        <w:tblW w:type="auto" w:w="0"/>
        <w:tblLook w:firstColumn="1" w:firstRow="1" w:lastColumn="0" w:lastRow="0" w:noHBand="0" w:noVBand="1" w:val="04A0"/>
      </w:tblPr>
      <w:tblGrid>
        <w:gridCol w:w="9878"/>
      </w:tblGrid>
      <w:tr>
        <w:tc>
          <w:tcPr>
            <w:tcW w:type="dxa" w:w="9878"/>
            <w:shd w:fill="EAF2F8"/>
            <w:tcMar>
              <w:top w:w="150" w:type="dxa"/>
              <w:start w:w="150" w:type="dxa"/>
              <w:bottom w:w="150" w:type="dxa"/>
              <w:end w:w="150" w:type="dxa"/>
            </w:tcMar>
          </w:tcPr>
          <w:p>
            <w:r>
              <w:rPr>
                <w:b/>
                <w:color w:val="17365D"/>
              </w:rPr>
              <w:t>Zielgruppe</w:t>
              <w:br/>
            </w:r>
            <w:r>
              <w:t>Diese Dokumentation richtet sich an .NET-Entwickler, die das Projekt übernehmen, warten, erweitern, testen oder bereitstellen. Sie beschreibt nicht nur die Benutzerfunktion, sondern vor allem Architekturentscheidungen, Kontrollfluss, Win32-Interop, Zuständigkeiten und Erweiterungspunkte.</w:t>
            </w:r>
          </w:p>
        </w:tc>
      </w:tr>
    </w:tbl>
    <w:p/>
    <w:p>
      <w:pPr>
        <w:pStyle w:val="Heading1"/>
      </w:pPr>
      <w:r>
        <w:t>1. Systemübersicht</w:t>
      </w:r>
    </w:p>
    <w:p>
      <w:pPr>
        <w:pStyle w:val="Heading2"/>
      </w:pPr>
      <w:r>
        <w:t>1.1 Problemstellung</w:t>
      </w:r>
    </w:p>
    <w:p>
      <w:r>
        <w:t>Ein HID-Barcodescanner verhält sich gegenüber Windows wie eine Tastatur. Standardmäßige KeyDown- oder KeyPress-Ereignisse liefern jedoch keine zuverlässige Information darüber, von welchem physischen Gerät die Eingabe stammt. Die Anwendung muss deshalb Scanner- und Tastatureingaben gerätebezogen trennen, einen vollständigen Scan bilden, die URL sicher validieren und anschließend den Standardbrowser starten.</w:t>
      </w:r>
    </w:p>
    <w:p>
      <w:pPr>
        <w:pStyle w:val="Heading2"/>
      </w:pPr>
      <w:r>
        <w:t>1.2 Lösung</w:t>
      </w:r>
    </w:p>
    <w:p>
      <w:pPr>
        <w:pStyle w:val="CodeBlock"/>
        <w:shd w:fill="F2F5F8"/>
      </w:pPr>
      <w:r>
        <w:t>HID-Gerät → Windows Raw Input → Gerätefilter → Scanpuffer → URL-Validierung → Doppelscan-Schutz → Browserstart</w:t>
      </w:r>
    </w:p>
    <w:p>
      <w:pPr>
        <w:pStyle w:val="ListBullet"/>
      </w:pPr>
      <w:r>
        <w:t>Raw Input liefert ein Gerätehandle je Eingabe.</w:t>
      </w:r>
    </w:p>
    <w:p>
      <w:pPr>
        <w:pStyle w:val="ListBullet"/>
      </w:pPr>
      <w:r>
        <w:t>Der Scanner wird einmalig über einen gültigen URL-Scan angelernt.</w:t>
      </w:r>
    </w:p>
    <w:p>
      <w:pPr>
        <w:pStyle w:val="ListBullet"/>
      </w:pPr>
      <w:r>
        <w:t>Nur Eingaben des gespeicherten Gerätemodells werden verarbeitet.</w:t>
      </w:r>
    </w:p>
    <w:p>
      <w:pPr>
        <w:pStyle w:val="ListBullet"/>
      </w:pPr>
      <w:r>
        <w:t>Normale Tastaturen bleiben wirkungslos.</w:t>
      </w:r>
    </w:p>
    <w:p>
      <w:pPr>
        <w:pStyle w:val="ListBullet"/>
      </w:pPr>
      <w:r>
        <w:t>Nur absolute HTTP- und HTTPS-Adressen werden geöffnet.</w:t>
      </w:r>
    </w:p>
    <w:p>
      <w:pPr>
        <w:pStyle w:val="Heading2"/>
      </w:pPr>
      <w:r>
        <w:t>1.3 Laufzeitmodell</w:t>
      </w:r>
    </w:p>
    <w:p>
      <w:r>
        <w:t>Die Anwendung ist eine fensterlose Windows-Forms-Tray-Anwendung. ScannerApplicationContext verwaltet den Lebenszyklus. RawInputWindow stellt intern ein NativeWindow mit Handle bereit. Ein ApplicationContext hält die Win32-Nachrichtenschleife aktiv, ohne ein sichtbares Form zu benötigen.</w:t>
      </w:r>
    </w:p>
    <w:p>
      <w:pPr>
        <w:pStyle w:val="Heading1"/>
      </w:pPr>
      <w:r>
        <w:t>2. Architektur und Projektstruktur</w:t>
      </w:r>
    </w:p>
    <w:p>
      <w:pPr>
        <w:pStyle w:val="Heading2"/>
      </w:pPr>
      <w:r>
        <w:t>2.1 Verzeichnisstruktur</w:t>
      </w:r>
    </w:p>
    <w:p>
      <w:pPr>
        <w:pStyle w:val="CodeBlock"/>
        <w:shd w:fill="F2F5F8"/>
      </w:pPr>
      <w:r>
        <w:t>ScannerUrlOpener</w:t>
        <w:br/>
        <w:t>├── Application</w:t>
        <w:br/>
        <w:t>│   ├── ScannerApplicationContext.cs</w:t>
        <w:br/>
        <w:t>│   └── SingleInstanceGuard.cs</w:t>
        <w:br/>
        <w:t>├── Configuration</w:t>
        <w:br/>
        <w:t>│   ├── ScannerSettings.cs</w:t>
        <w:br/>
        <w:t>│   ├── ScannerDeviceConfiguration.cs</w:t>
        <w:br/>
        <w:t>│   └── ScannerDeviceConfigurationStore.cs</w:t>
        <w:br/>
        <w:t>├── Input</w:t>
        <w:br/>
        <w:t>│   ├── RawInputWindow.cs</w:t>
        <w:br/>
        <w:t>│   ├── RawInputKeyEventArgs.cs</w:t>
        <w:br/>
        <w:t>│   ├── RawInputScannerReader.cs</w:t>
        <w:br/>
        <w:t>│   ├── ScannerDeviceMatcher.cs</w:t>
        <w:br/>
        <w:t>│   └── DuplicateScanGuard.cs</w:t>
        <w:br/>
        <w:t>├── Services</w:t>
        <w:br/>
        <w:t>│   ├── UrlLauncher.cs</w:t>
        <w:br/>
        <w:t>│   ├── UrlValidator.cs</w:t>
        <w:br/>
        <w:t>│   └── AppLogger.cs</w:t>
        <w:br/>
        <w:t>├── Properties</w:t>
        <w:br/>
        <w:t>│   └── AssemblyInfo.cs</w:t>
        <w:br/>
        <w:t>├── Program.cs</w:t>
        <w:br/>
        <w:t>└── ScannerUrlOpener.csproj</w:t>
        <w:br/>
        <w:br/>
        <w:t>ScannerUrlOpener.Tests</w:t>
        <w:br/>
        <w:t>├── UrlValidatorTests.cs</w:t>
        <w:br/>
        <w:t>├── DuplicateScanGuardTests.cs</w:t>
        <w:br/>
        <w:t>├── ScannerDeviceMatcherTests.cs</w:t>
        <w:br/>
        <w:t>└── ScannerSettingsTests.cs</w:t>
      </w:r>
    </w:p>
    <w:p>
      <w:pPr>
        <w:pStyle w:val="Heading2"/>
      </w:pPr>
      <w:r>
        <w:t>2.2 Verantwortlichkeiten</w:t>
      </w:r>
    </w:p>
    <w:tbl>
      <w:tblPr>
        <w:tblW w:type="auto" w:w="0"/>
        <w:jc w:val="center"/>
        <w:tblLook w:firstColumn="1" w:firstRow="1" w:lastColumn="0" w:lastRow="0" w:noHBand="0" w:noVBand="1" w:val="04A0"/>
      </w:tblPr>
      <w:tblGrid>
        <w:gridCol w:w="4939"/>
        <w:gridCol w:w="4939"/>
      </w:tblGrid>
      <w:tr>
        <w:tc>
          <w:tcPr>
            <w:tcW w:type="dxa" w:w="4939"/>
            <w:shd w:fill="2F5597"/>
            <w:tcMar>
              <w:top w:w="110" w:type="dxa"/>
              <w:start w:w="110" w:type="dxa"/>
              <w:bottom w:w="110" w:type="dxa"/>
              <w:end w:w="110" w:type="dxa"/>
            </w:tcMar>
          </w:tcPr>
          <w:p>
            <w:r>
              <w:rPr>
                <w:b/>
                <w:color w:val="FFFFFF"/>
              </w:rPr>
              <w:t>Typ</w:t>
            </w:r>
          </w:p>
        </w:tc>
        <w:tc>
          <w:tcPr>
            <w:tcW w:type="dxa" w:w="4939"/>
            <w:shd w:fill="2F5597"/>
            <w:tcMar>
              <w:top w:w="110" w:type="dxa"/>
              <w:start w:w="110" w:type="dxa"/>
              <w:bottom w:w="110" w:type="dxa"/>
              <w:end w:w="110" w:type="dxa"/>
            </w:tcMar>
          </w:tcPr>
          <w:p>
            <w:r>
              <w:rPr>
                <w:b/>
                <w:color w:val="FFFFFF"/>
              </w:rPr>
              <w:t>Verantwortung</w:t>
            </w:r>
          </w:p>
        </w:tc>
      </w:tr>
      <w:tr>
        <w:tc>
          <w:tcPr>
            <w:tcW w:type="dxa" w:w="4939"/>
            <w:tcMar>
              <w:top w:w="110" w:type="dxa"/>
              <w:start w:w="110" w:type="dxa"/>
              <w:bottom w:w="110" w:type="dxa"/>
              <w:end w:w="110" w:type="dxa"/>
            </w:tcMar>
          </w:tcPr>
          <w:p>
            <w:r>
              <w:t>Program</w:t>
            </w:r>
          </w:p>
        </w:tc>
        <w:tc>
          <w:tcPr>
            <w:tcW w:type="dxa" w:w="4939"/>
            <w:tcMar>
              <w:top w:w="110" w:type="dxa"/>
              <w:start w:w="110" w:type="dxa"/>
              <w:bottom w:w="110" w:type="dxa"/>
              <w:end w:w="110" w:type="dxa"/>
            </w:tcMar>
          </w:tcPr>
          <w:p>
            <w:r>
              <w:t>Composition Root, Initialisierung, Settings-Validierung, Logger, Mutex und globale Fehlerbehandlung.</w:t>
            </w:r>
          </w:p>
        </w:tc>
      </w:tr>
      <w:tr>
        <w:tc>
          <w:tcPr>
            <w:tcW w:type="dxa" w:w="4939"/>
            <w:tcMar>
              <w:top w:w="110" w:type="dxa"/>
              <w:start w:w="110" w:type="dxa"/>
              <w:bottom w:w="110" w:type="dxa"/>
              <w:end w:w="110" w:type="dxa"/>
            </w:tcMar>
          </w:tcPr>
          <w:p>
            <w:r>
              <w:t>ScannerApplicationContext</w:t>
            </w:r>
          </w:p>
        </w:tc>
        <w:tc>
          <w:tcPr>
            <w:tcW w:type="dxa" w:w="4939"/>
            <w:tcMar>
              <w:top w:w="110" w:type="dxa"/>
              <w:start w:w="110" w:type="dxa"/>
              <w:bottom w:w="110" w:type="dxa"/>
              <w:end w:w="110" w:type="dxa"/>
            </w:tcMar>
          </w:tcPr>
          <w:p>
            <w:r>
              <w:t>Orchestrierung, Tray-Menü, Anlernzustand, Ereignisverdrahtung und Shutdown.</w:t>
            </w:r>
          </w:p>
        </w:tc>
      </w:tr>
      <w:tr>
        <w:tc>
          <w:tcPr>
            <w:tcW w:type="dxa" w:w="4939"/>
            <w:tcMar>
              <w:top w:w="110" w:type="dxa"/>
              <w:start w:w="110" w:type="dxa"/>
              <w:bottom w:w="110" w:type="dxa"/>
              <w:end w:w="110" w:type="dxa"/>
            </w:tcMar>
          </w:tcPr>
          <w:p>
            <w:r>
              <w:t>RawInputWindow</w:t>
            </w:r>
          </w:p>
        </w:tc>
        <w:tc>
          <w:tcPr>
            <w:tcW w:type="dxa" w:w="4939"/>
            <w:tcMar>
              <w:top w:w="110" w:type="dxa"/>
              <w:start w:w="110" w:type="dxa"/>
              <w:bottom w:w="110" w:type="dxa"/>
              <w:end w:w="110" w:type="dxa"/>
            </w:tcMar>
          </w:tcPr>
          <w:p>
            <w:r>
              <w:t>Win32-Registrierung, WM_INPUT-Verarbeitung und Ermittlung des Gerätepfads.</w:t>
            </w:r>
          </w:p>
        </w:tc>
      </w:tr>
      <w:tr>
        <w:tc>
          <w:tcPr>
            <w:tcW w:type="dxa" w:w="4939"/>
            <w:tcMar>
              <w:top w:w="110" w:type="dxa"/>
              <w:start w:w="110" w:type="dxa"/>
              <w:bottom w:w="110" w:type="dxa"/>
              <w:end w:w="110" w:type="dxa"/>
            </w:tcMar>
          </w:tcPr>
          <w:p>
            <w:r>
              <w:t>RawInputScannerReader</w:t>
            </w:r>
          </w:p>
        </w:tc>
        <w:tc>
          <w:tcPr>
            <w:tcW w:type="dxa" w:w="4939"/>
            <w:tcMar>
              <w:top w:w="110" w:type="dxa"/>
              <w:start w:w="110" w:type="dxa"/>
              <w:bottom w:w="110" w:type="dxa"/>
              <w:end w:w="110" w:type="dxa"/>
            </w:tcMar>
          </w:tcPr>
          <w:p>
            <w:r>
              <w:t>Gerätegefilterte Tastenverarbeitung, Zeichenübersetzung, Puffern und Scanabschluss.</w:t>
            </w:r>
          </w:p>
        </w:tc>
      </w:tr>
      <w:tr>
        <w:tc>
          <w:tcPr>
            <w:tcW w:type="dxa" w:w="4939"/>
            <w:tcMar>
              <w:top w:w="110" w:type="dxa"/>
              <w:start w:w="110" w:type="dxa"/>
              <w:bottom w:w="110" w:type="dxa"/>
              <w:end w:w="110" w:type="dxa"/>
            </w:tcMar>
          </w:tcPr>
          <w:p>
            <w:r>
              <w:t>ScannerDeviceMatcher</w:t>
            </w:r>
          </w:p>
        </w:tc>
        <w:tc>
          <w:tcPr>
            <w:tcW w:type="dxa" w:w="4939"/>
            <w:tcMar>
              <w:top w:w="110" w:type="dxa"/>
              <w:start w:w="110" w:type="dxa"/>
              <w:bottom w:w="110" w:type="dxa"/>
              <w:end w:w="110" w:type="dxa"/>
            </w:tcMar>
          </w:tcPr>
          <w:p>
            <w:r>
              <w:t>Extraktion und Vergleich der stabilen VID/PID-Kennung.</w:t>
            </w:r>
          </w:p>
        </w:tc>
      </w:tr>
      <w:tr>
        <w:tc>
          <w:tcPr>
            <w:tcW w:type="dxa" w:w="4939"/>
            <w:tcMar>
              <w:top w:w="110" w:type="dxa"/>
              <w:start w:w="110" w:type="dxa"/>
              <w:bottom w:w="110" w:type="dxa"/>
              <w:end w:w="110" w:type="dxa"/>
            </w:tcMar>
          </w:tcPr>
          <w:p>
            <w:r>
              <w:t>ScannerDeviceConfigurationStore</w:t>
            </w:r>
          </w:p>
        </w:tc>
        <w:tc>
          <w:tcPr>
            <w:tcW w:type="dxa" w:w="4939"/>
            <w:tcMar>
              <w:top w:w="110" w:type="dxa"/>
              <w:start w:w="110" w:type="dxa"/>
              <w:bottom w:w="110" w:type="dxa"/>
              <w:end w:w="110" w:type="dxa"/>
            </w:tcMar>
          </w:tcPr>
          <w:p>
            <w:r>
              <w:t>Persistenz der Gerätekennung als JSON im LocalAppData-Verzeichnis.</w:t>
            </w:r>
          </w:p>
        </w:tc>
      </w:tr>
      <w:tr>
        <w:tc>
          <w:tcPr>
            <w:tcW w:type="dxa" w:w="4939"/>
            <w:tcMar>
              <w:top w:w="110" w:type="dxa"/>
              <w:start w:w="110" w:type="dxa"/>
              <w:bottom w:w="110" w:type="dxa"/>
              <w:end w:w="110" w:type="dxa"/>
            </w:tcMar>
          </w:tcPr>
          <w:p>
            <w:r>
              <w:t>UrlValidator</w:t>
            </w:r>
          </w:p>
        </w:tc>
        <w:tc>
          <w:tcPr>
            <w:tcW w:type="dxa" w:w="4939"/>
            <w:tcMar>
              <w:top w:w="110" w:type="dxa"/>
              <w:start w:w="110" w:type="dxa"/>
              <w:bottom w:w="110" w:type="dxa"/>
              <w:end w:w="110" w:type="dxa"/>
            </w:tcMar>
          </w:tcPr>
          <w:p>
            <w:r>
              <w:t>Reine Validierung und Normalisierung der URL.</w:t>
            </w:r>
          </w:p>
        </w:tc>
      </w:tr>
      <w:tr>
        <w:tc>
          <w:tcPr>
            <w:tcW w:type="dxa" w:w="4939"/>
            <w:tcMar>
              <w:top w:w="110" w:type="dxa"/>
              <w:start w:w="110" w:type="dxa"/>
              <w:bottom w:w="110" w:type="dxa"/>
              <w:end w:w="110" w:type="dxa"/>
            </w:tcMar>
          </w:tcPr>
          <w:p>
            <w:r>
              <w:t>UrlLauncher</w:t>
            </w:r>
          </w:p>
        </w:tc>
        <w:tc>
          <w:tcPr>
            <w:tcW w:type="dxa" w:w="4939"/>
            <w:tcMar>
              <w:top w:w="110" w:type="dxa"/>
              <w:start w:w="110" w:type="dxa"/>
              <w:bottom w:w="110" w:type="dxa"/>
              <w:end w:w="110" w:type="dxa"/>
            </w:tcMar>
          </w:tcPr>
          <w:p>
            <w:r>
              <w:t>Öffnen einer bereits validierten Uri über die Windows-Shell.</w:t>
            </w:r>
          </w:p>
        </w:tc>
      </w:tr>
      <w:tr>
        <w:tc>
          <w:tcPr>
            <w:tcW w:type="dxa" w:w="4939"/>
            <w:tcMar>
              <w:top w:w="110" w:type="dxa"/>
              <w:start w:w="110" w:type="dxa"/>
              <w:bottom w:w="110" w:type="dxa"/>
              <w:end w:w="110" w:type="dxa"/>
            </w:tcMar>
          </w:tcPr>
          <w:p>
            <w:r>
              <w:t>DuplicateScanGuard</w:t>
            </w:r>
          </w:p>
        </w:tc>
        <w:tc>
          <w:tcPr>
            <w:tcW w:type="dxa" w:w="4939"/>
            <w:tcMar>
              <w:top w:w="110" w:type="dxa"/>
              <w:start w:w="110" w:type="dxa"/>
              <w:bottom w:w="110" w:type="dxa"/>
              <w:end w:w="110" w:type="dxa"/>
            </w:tcMar>
          </w:tcPr>
          <w:p>
            <w:r>
              <w:t>Zeitbasierte Unterdrückung identischer Folgescans.</w:t>
            </w:r>
          </w:p>
        </w:tc>
      </w:tr>
      <w:tr>
        <w:tc>
          <w:tcPr>
            <w:tcW w:type="dxa" w:w="4939"/>
            <w:tcMar>
              <w:top w:w="110" w:type="dxa"/>
              <w:start w:w="110" w:type="dxa"/>
              <w:bottom w:w="110" w:type="dxa"/>
              <w:end w:w="110" w:type="dxa"/>
            </w:tcMar>
          </w:tcPr>
          <w:p>
            <w:r>
              <w:t>AppLogger</w:t>
            </w:r>
          </w:p>
        </w:tc>
        <w:tc>
          <w:tcPr>
            <w:tcW w:type="dxa" w:w="4939"/>
            <w:tcMar>
              <w:top w:w="110" w:type="dxa"/>
              <w:start w:w="110" w:type="dxa"/>
              <w:bottom w:w="110" w:type="dxa"/>
              <w:end w:w="110" w:type="dxa"/>
            </w:tcMar>
          </w:tcPr>
          <w:p>
            <w:r>
              <w:t>Dateibasierte Protokollierung und Logrotation.</w:t>
            </w:r>
          </w:p>
        </w:tc>
      </w:tr>
      <w:tr>
        <w:tc>
          <w:tcPr>
            <w:tcW w:type="dxa" w:w="4939"/>
            <w:tcMar>
              <w:top w:w="110" w:type="dxa"/>
              <w:start w:w="110" w:type="dxa"/>
              <w:bottom w:w="110" w:type="dxa"/>
              <w:end w:w="110" w:type="dxa"/>
            </w:tcMar>
          </w:tcPr>
          <w:p>
            <w:r>
              <w:t>SingleInstanceGuard</w:t>
            </w:r>
          </w:p>
        </w:tc>
        <w:tc>
          <w:tcPr>
            <w:tcW w:type="dxa" w:w="4939"/>
            <w:tcMar>
              <w:top w:w="110" w:type="dxa"/>
              <w:start w:w="110" w:type="dxa"/>
              <w:bottom w:w="110" w:type="dxa"/>
              <w:end w:w="110" w:type="dxa"/>
            </w:tcMar>
          </w:tcPr>
          <w:p>
            <w:r>
              <w:t>Mutex-basierte Sicherstellung einer Instanz pro Benutzersitzung.</w:t>
            </w:r>
          </w:p>
        </w:tc>
      </w:tr>
    </w:tbl>
    <w:p>
      <w:pPr>
        <w:pStyle w:val="Heading2"/>
      </w:pPr>
      <w:r>
        <w:t>2.3 Abhängigkeitsrichtung</w:t>
      </w:r>
    </w:p>
    <w:p>
      <w:r>
        <w:t>Die Infrastrukturklassen kennen die UI-Orchestrierung nicht. ScannerApplicationContext hängt von Settings, Logger, Reader, Matcher, Store und Launcher ab und koordiniert diese. UrlValidator und DuplicateScanGuard sind zustandsarme bzw. klar abgegrenzte Domänenhelfer und deshalb gut testbar.</w:t>
      </w:r>
    </w:p>
    <w:p>
      <w:r>
        <w:br w:type="page"/>
      </w:r>
    </w:p>
    <w:p>
      <w:pPr>
        <w:pStyle w:val="Heading1"/>
      </w:pPr>
      <w:r>
        <w:t>3. Start, Lebenszyklus und Shutdown</w:t>
      </w:r>
    </w:p>
    <w:p>
      <w:pPr>
        <w:pStyle w:val="Heading2"/>
      </w:pPr>
      <w:r>
        <w:t>3.1 Startsequenz</w:t>
      </w:r>
    </w:p>
    <w:p>
      <w:pPr>
        <w:pStyle w:val="ListNumber"/>
      </w:pPr>
      <w:r>
        <w:t>ApplicationConfiguration.Initialize() initialisiert Windows Forms.</w:t>
      </w:r>
    </w:p>
    <w:p>
      <w:pPr>
        <w:pStyle w:val="ListNumber"/>
      </w:pPr>
      <w:r>
        <w:t>SingleInstanceGuard versucht, den benannten Local-Mutex zu besitzen.</w:t>
      </w:r>
    </w:p>
    <w:p>
      <w:pPr>
        <w:pStyle w:val="ListNumber"/>
      </w:pPr>
      <w:r>
        <w:t>ScannerSettings wird erzeugt und validiert.</w:t>
      </w:r>
    </w:p>
    <w:p>
      <w:pPr>
        <w:pStyle w:val="ListNumber"/>
      </w:pPr>
      <w:r>
        <w:t>AppLogger wird mit der maximalen Logdateigröße erzeugt.</w:t>
      </w:r>
    </w:p>
    <w:p>
      <w:pPr>
        <w:pStyle w:val="ListNumber"/>
      </w:pPr>
      <w:r>
        <w:t>ScannerApplicationContext wird als Composition Root der Laufzeitkomponenten erstellt.</w:t>
      </w:r>
    </w:p>
    <w:p>
      <w:pPr>
        <w:pStyle w:val="ListNumber"/>
      </w:pPr>
      <w:r>
        <w:t>System.Windows.Forms.Application.Run(context) startet die Nachrichtenschleife.</w:t>
      </w:r>
    </w:p>
    <w:p>
      <w:pPr>
        <w:pStyle w:val="CodeBlock"/>
        <w:shd w:fill="F2F5F8"/>
      </w:pPr>
      <w:r>
        <w:t>using SingleInstanceGuard guard = new(ApplicationMutexName);</w:t>
        <w:br/>
        <w:t>if (!guard.IsPrimaryInstance) return;</w:t>
        <w:br/>
        <w:br/>
        <w:t>ScannerSettings settings = new();</w:t>
        <w:br/>
        <w:t>settings.Validate();</w:t>
        <w:br/>
        <w:t>AppLogger logger = new(settings.MaximumLogFileSizeBytes);</w:t>
        <w:br/>
        <w:t>using ScannerApplicationContext context = new(settings, logger);</w:t>
        <w:br/>
        <w:t>System.Windows.Forms.Application.Run(context);</w:t>
      </w:r>
    </w:p>
    <w:p>
      <w:pPr>
        <w:pStyle w:val="Heading2"/>
      </w:pPr>
      <w:r>
        <w:t>3.2 Mehrfachstartschutz</w:t>
      </w:r>
    </w:p>
    <w:p>
      <w:r>
        <w:t>SingleInstanceGuard verwendet einen benannten Mutex mit Local\-Präfix. Damit ist pro Benutzer-/Terminalsitzung eine Instanz zulässig. Der Mutex wird über IDisposable freigegeben. Bei einem Prozessabbruch räumt Windows den Kernel-Handle auf.</w:t>
      </w:r>
    </w:p>
    <w:p>
      <w:pPr>
        <w:pStyle w:val="Heading2"/>
      </w:pPr>
      <w:r>
        <w:t>3.3 Shutdown</w:t>
      </w:r>
    </w:p>
    <w:p>
      <w:pPr>
        <w:pStyle w:val="ListBullet"/>
      </w:pPr>
      <w:r>
        <w:t>ScanCompleted- und KeyReceived-Ereignisse abmelden.</w:t>
      </w:r>
    </w:p>
    <w:p>
      <w:pPr>
        <w:pStyle w:val="ListBullet"/>
      </w:pPr>
      <w:r>
        <w:t>RawInputScannerReader.Dispose() aufrufen und Timer stoppen.</w:t>
      </w:r>
    </w:p>
    <w:p>
      <w:pPr>
        <w:pStyle w:val="ListBullet"/>
      </w:pPr>
      <w:r>
        <w:t>RawInputWindow.Dispose() aufrufen und NativeWindow-Handle zerstören.</w:t>
      </w:r>
    </w:p>
    <w:p>
      <w:pPr>
        <w:pStyle w:val="ListBullet"/>
      </w:pPr>
      <w:r>
        <w:t>NotifyIcon unsichtbar setzen und freigeben.</w:t>
      </w:r>
    </w:p>
    <w:p>
      <w:pPr>
        <w:pStyle w:val="ListBullet"/>
      </w:pPr>
      <w:r>
        <w:t>ApplicationContext über base.ExitThreadCore() beenden.</w:t>
      </w:r>
    </w:p>
    <w:p>
      <w:pPr>
        <w:pStyle w:val="Heading1"/>
      </w:pPr>
      <w:r>
        <w:t>4. Win32 Raw Input</w:t>
      </w:r>
    </w:p>
    <w:p>
      <w:pPr>
        <w:pStyle w:val="Heading2"/>
      </w:pPr>
      <w:r>
        <w:t>4.1 Registrierung</w:t>
      </w:r>
    </w:p>
    <w:p>
      <w:r>
        <w:t>RawInputWindow erbt von NativeWindow, erzeugt ein unsichtbares Handle und registriert die Generic-Desktop-Keyboard-Usage. RIDEV_INPUTSINK sorgt dafür, dass WM_INPUT auch ohne Vordergrundfokus an das Zielhandle gesendet wird.</w:t>
      </w:r>
    </w:p>
    <w:p>
      <w:pPr>
        <w:pStyle w:val="CodeBlock"/>
        <w:shd w:fill="F2F5F8"/>
      </w:pPr>
      <w:r>
        <w:t>UsagePage = 0x01       // Generic Desktop Controls</w:t>
        <w:br/>
        <w:t>Usage     = 0x06       // Keyboard</w:t>
        <w:br/>
        <w:t>Flags     = 0x00000100 // RIDEV_INPUTSINK</w:t>
        <w:br/>
        <w:t>Target    = RawInputWindow.Handle</w:t>
      </w:r>
    </w:p>
    <w:p>
      <w:pPr>
        <w:pStyle w:val="Heading2"/>
      </w:pPr>
      <w:r>
        <w:t>4.2 Nachrichtenverarbeitung</w:t>
      </w:r>
    </w:p>
    <w:p>
      <w:pPr>
        <w:pStyle w:val="ListNumber"/>
      </w:pPr>
      <w:r>
        <w:t>WndProc erkennt WM_INPUT.</w:t>
      </w:r>
    </w:p>
    <w:p>
      <w:pPr>
        <w:pStyle w:val="ListNumber"/>
      </w:pPr>
      <w:r>
        <w:t>GetRawInputData wird zuerst mit leerem Puffer aufgerufen, um die benötigte Größe zu erhalten.</w:t>
      </w:r>
    </w:p>
    <w:p>
      <w:pPr>
        <w:pStyle w:val="ListNumber"/>
      </w:pPr>
      <w:r>
        <w:t>Ein unmanaged Puffer wird reserviert.</w:t>
      </w:r>
    </w:p>
    <w:p>
      <w:pPr>
        <w:pStyle w:val="ListNumber"/>
      </w:pPr>
      <w:r>
        <w:t>RAWINPUTHEADER und RAWKEYBOARD werden aus dem Puffer gelesen.</w:t>
      </w:r>
    </w:p>
    <w:p>
      <w:pPr>
        <w:pStyle w:val="ListNumber"/>
      </w:pPr>
      <w:r>
        <w:t>GetRawInputDeviceInfo liefert den Gerätepfad zum Gerätehandle.</w:t>
      </w:r>
    </w:p>
    <w:p>
      <w:pPr>
        <w:pStyle w:val="ListNumber"/>
      </w:pPr>
      <w:r>
        <w:t>RawInputKeyEventArgs wird ausgelöst.</w:t>
      </w:r>
    </w:p>
    <w:p>
      <w:pPr>
        <w:pStyle w:val="ListNumber"/>
      </w:pPr>
      <w:r>
        <w:t>Der unmanaged Puffer wird im finally-Block freigegeben.</w:t>
      </w:r>
    </w:p>
    <w:p>
      <w:pPr>
        <w:pStyle w:val="Heading2"/>
      </w:pPr>
      <w:r>
        <w:t>4.3 Interop-Risiken</w:t>
      </w:r>
    </w:p>
    <w:p>
      <w:pPr>
        <w:pStyle w:val="ListBullet"/>
      </w:pPr>
      <w:r>
        <w:t>StructLayout und Feldreihenfolge müssen der Win32-Struktur exakt entsprechen.</w:t>
      </w:r>
    </w:p>
    <w:p>
      <w:pPr>
        <w:pStyle w:val="ListBullet"/>
      </w:pPr>
      <w:r>
        <w:t>IntPtr-Größen unterscheiden sich zwischen x86 und x64; die Anwendung wird als win-x64 veröffentlicht.</w:t>
      </w:r>
    </w:p>
    <w:p>
      <w:pPr>
        <w:pStyle w:val="ListBullet"/>
      </w:pPr>
      <w:r>
        <w:t>Marshal.AllocHGlobal muss in jedem Pfad über finally freigegeben werden.</w:t>
      </w:r>
    </w:p>
    <w:p>
      <w:pPr>
        <w:pStyle w:val="ListBullet"/>
      </w:pPr>
      <w:r>
        <w:t>Key-Up- und Key-Down-Ereignisse müssen unterschieden werden, damit Zeichen nicht doppelt entstehen.</w:t>
      </w:r>
    </w:p>
    <w:p>
      <w:pPr>
        <w:pStyle w:val="ListBullet"/>
      </w:pPr>
      <w:r>
        <w:t>VirtualKey 255 wird als ungültige Raw-Keyboard-Eingabe verworfen.</w:t>
      </w:r>
    </w:p>
    <w:p>
      <w:pPr>
        <w:pStyle w:val="Heading1"/>
      </w:pPr>
      <w:r>
        <w:t>5. Geräteidentifikation und Anlernmodus</w:t>
      </w:r>
    </w:p>
    <w:p>
      <w:pPr>
        <w:pStyle w:val="Heading2"/>
      </w:pPr>
      <w:r>
        <w:t>5.1 Gerätekennung</w:t>
      </w:r>
    </w:p>
    <w:p>
      <w:r>
        <w:t>Der Gerätepfad enthält typischerweise VID und PID. ScannerDeviceMatcher extrahiert per regulärem Ausdruck den stabileren Modellbezeichner. Falls keine VID/PID vorkommt, wird als Fallback der vollständige Gerätepfad gespeichert.</w:t>
      </w:r>
    </w:p>
    <w:p>
      <w:pPr>
        <w:pStyle w:val="CodeBlock"/>
        <w:shd w:fill="F2F5F8"/>
      </w:pPr>
      <w:r>
        <w:t>Eingang:  \?\HID#VID_0461&amp;PID_4D87&amp;MI_00#...</w:t>
        <w:br/>
        <w:t>Ergebnis: VID_0461&amp;PID_4D87</w:t>
      </w:r>
    </w:p>
    <w:tbl>
      <w:tblPr>
        <w:tblW w:type="auto" w:w="0"/>
        <w:tblLook w:firstColumn="1" w:firstRow="1" w:lastColumn="0" w:lastRow="0" w:noHBand="0" w:noVBand="1" w:val="04A0"/>
      </w:tblPr>
      <w:tblGrid>
        <w:gridCol w:w="9878"/>
      </w:tblGrid>
      <w:tr>
        <w:tc>
          <w:tcPr>
            <w:tcW w:type="dxa" w:w="9878"/>
            <w:shd w:fill="FFF2CC"/>
            <w:tcMar>
              <w:top w:w="150" w:type="dxa"/>
              <w:start w:w="150" w:type="dxa"/>
              <w:bottom w:w="150" w:type="dxa"/>
              <w:end w:w="150" w:type="dxa"/>
            </w:tcMar>
          </w:tcPr>
          <w:p>
            <w:r>
              <w:rPr>
                <w:b/>
                <w:color w:val="17365D"/>
              </w:rPr>
              <w:t>Designentscheidung</w:t>
              <w:br/>
            </w:r>
            <w:r>
              <w:t>VID/PID macht die Installation für Scanner desselben Modells portabel. Zwei baugleiche Scanner am selben Rechner werden allerdings beide akzeptiert. Falls eine einzelne physische Instanz unterschieden werden muss, ist statt VID/PID der vollständige Gerätepfad oder eine Geräteinstanz-ID zu speichern.</w:t>
            </w:r>
          </w:p>
        </w:tc>
      </w:tr>
    </w:tbl>
    <w:p/>
    <w:p>
      <w:pPr>
        <w:pStyle w:val="Heading2"/>
      </w:pPr>
      <w:r>
        <w:t>5.2 Sicherer Anlernzustand</w:t>
      </w:r>
    </w:p>
    <w:p>
      <w:r>
        <w:t>Der ApplicationContext verwaltet einen expliziten Anlernzustand. Das erste sendende Gerät wird nur als Kandidat konfiguriert, damit RawInputScannerReader dessen Folgetasten sammeln kann. Erst ein vollständiger Scan, der Mindestlänge und UrlValidator erfüllt, wird gespeichert.</w:t>
      </w:r>
    </w:p>
    <w:p>
      <w:pPr>
        <w:pStyle w:val="CodeBlock"/>
        <w:shd w:fill="F2F5F8"/>
      </w:pPr>
      <w:r>
        <w:t>Idle → LearningRequested → CandidateSelected → ScanCompleted</w:t>
        <w:br/>
        <w:t xml:space="preserve">     → URL gültig: Persisted + NormalOperation</w:t>
        <w:br/>
        <w:t xml:space="preserve">     → URL ungültig: Candidate verworfen + Learning bleibt aktiv</w:t>
      </w:r>
    </w:p>
    <w:p>
      <w:pPr>
        <w:pStyle w:val="Heading2"/>
      </w:pPr>
      <w:r>
        <w:t>5.3 Persistenz</w:t>
      </w:r>
    </w:p>
    <w:p>
      <w:pPr>
        <w:pStyle w:val="CodeBlock"/>
        <w:shd w:fill="F2F5F8"/>
      </w:pPr>
      <w:r>
        <w:t>%LOCALAPPDATA%\ScannerUrlOpener\scanner.json</w:t>
        <w:br/>
        <w:br/>
        <w:t>{</w:t>
        <w:br/>
        <w:t xml:space="preserve">  "DeviceIdentifier": "VID_0461&amp;PID_4D87"</w:t>
        <w:br/>
        <w:t>}</w:t>
      </w:r>
    </w:p>
    <w:p>
      <w:r>
        <w:t>ScannerDeviceConfigurationStore kapselt Laden, Speichern und Löschen. Fehler beim Laden führen zu einer leeren Konfiguration, damit die Anwendung weiter startet und ein erneutes Anlernen ermöglicht.</w:t>
      </w:r>
    </w:p>
    <w:p>
      <w:r>
        <w:br w:type="page"/>
      </w:r>
    </w:p>
    <w:p>
      <w:pPr>
        <w:pStyle w:val="Heading1"/>
      </w:pPr>
      <w:r>
        <w:t>6. Scanaufbau und Zeichenübersetzung</w:t>
      </w:r>
    </w:p>
    <w:p>
      <w:pPr>
        <w:pStyle w:val="Heading2"/>
      </w:pPr>
      <w:r>
        <w:t>6.1 Eingabefilter</w:t>
      </w:r>
    </w:p>
    <w:p>
      <w:r>
        <w:t>RawInputScannerReader prüft zuerst ScannerDeviceMatcher.IsScanner. Ereignisse anderer Tastaturen werden sofort verworfen. Shift-Tasten aktualisieren nur den internen Modifier-Zustand. Normale Zeichen werden ausschließlich bei Key-Down verarbeitet.</w:t>
      </w:r>
    </w:p>
    <w:p>
      <w:pPr>
        <w:pStyle w:val="Heading2"/>
      </w:pPr>
      <w:r>
        <w:t>6.2 Zeichenübersetzung</w:t>
      </w:r>
    </w:p>
    <w:p>
      <w:r>
        <w:t>ToUnicodeEx übersetzt VirtualKey und MakeCode anhand des aktiven Keyboard Layouts. Der Reader setzt Shift-Status explizit im Keyboard-State-Array. Diese Logik ist notwendig, damit URL-Sonderzeichen korrekt entstehen.</w:t>
      </w:r>
    </w:p>
    <w:p>
      <w:pPr>
        <w:pStyle w:val="CodeBlock"/>
        <w:shd w:fill="F2F5F8"/>
      </w:pPr>
      <w:r>
        <w:t>TranslateKey(virtualKey, scanCode)</w:t>
        <w:br/>
        <w:t>→ GetKeyboardState</w:t>
        <w:br/>
        <w:t>→ Shift-State überschreiben</w:t>
        <w:br/>
        <w:t>→ GetKeyboardLayout(0)</w:t>
        <w:br/>
        <w:t>→ ToUnicodeEx</w:t>
        <w:br/>
        <w:t>→ Zeichen an StringBuilder anhängen</w:t>
      </w:r>
    </w:p>
    <w:p>
      <w:pPr>
        <w:pStyle w:val="Heading2"/>
      </w:pPr>
      <w:r>
        <w:t>6.3 Scanabschluss</w:t>
      </w:r>
    </w:p>
    <w:p>
      <w:pPr>
        <w:pStyle w:val="ListBullet"/>
      </w:pPr>
      <w:r>
        <w:t>Enter beendet den Scan sofort.</w:t>
      </w:r>
    </w:p>
    <w:p>
      <w:pPr>
        <w:pStyle w:val="ListBullet"/>
      </w:pPr>
      <w:r>
        <w:t>Nach jedem Zeichen wird der WinForms-Timer neu gestartet.</w:t>
      </w:r>
    </w:p>
    <w:p>
      <w:pPr>
        <w:pStyle w:val="ListBullet"/>
      </w:pPr>
      <w:r>
        <w:t>Bleibt eine weitere Eingabe aus, beendet der Timer den Scan.</w:t>
      </w:r>
    </w:p>
    <w:p>
      <w:pPr>
        <w:pStyle w:val="ListBullet"/>
      </w:pPr>
      <w:r>
        <w:t>MaximumCharacterDelay verwirft einen unterbrochenen Puffer.</w:t>
      </w:r>
    </w:p>
    <w:p>
      <w:pPr>
        <w:pStyle w:val="ListBullet"/>
      </w:pPr>
      <w:r>
        <w:t>MaximumScanLength schützt vor unkontrolliertem Pufferwachstum.</w:t>
      </w:r>
    </w:p>
    <w:p>
      <w:pPr>
        <w:pStyle w:val="ListBullet"/>
      </w:pPr>
      <w:r>
        <w:t>ResetInputState setzt Timer, Puffer, Zeitstempel und Shift zurück.</w:t>
      </w:r>
    </w:p>
    <w:tbl>
      <w:tblPr>
        <w:tblW w:type="auto" w:w="0"/>
        <w:tblLook w:firstColumn="1" w:firstRow="1" w:lastColumn="0" w:lastRow="0" w:noHBand="0" w:noVBand="1" w:val="04A0"/>
      </w:tblPr>
      <w:tblGrid>
        <w:gridCol w:w="9878"/>
      </w:tblGrid>
      <w:tr>
        <w:tc>
          <w:tcPr>
            <w:tcW w:type="dxa" w:w="9878"/>
            <w:shd w:fill="EAF2F8"/>
            <w:tcMar>
              <w:top w:w="150" w:type="dxa"/>
              <w:start w:w="150" w:type="dxa"/>
              <w:bottom w:w="150" w:type="dxa"/>
              <w:end w:w="150" w:type="dxa"/>
            </w:tcMar>
          </w:tcPr>
          <w:p>
            <w:r>
              <w:rPr>
                <w:b/>
                <w:color w:val="17365D"/>
              </w:rPr>
              <w:t>Threading</w:t>
              <w:br/>
            </w:r>
            <w:r>
              <w:t>System.Windows.Forms.Timer tickt im UI-Nachrichtenthread. Da RawInputWindow ebenfalls über dieselbe Windows-Nachrichtenschleife verarbeitet wird, benötigen Puffer und Timer in der aktuellen Architektur keine zusätzliche Synchronisierung.</w:t>
            </w:r>
          </w:p>
        </w:tc>
      </w:tr>
    </w:tbl>
    <w:p/>
    <w:p>
      <w:pPr>
        <w:pStyle w:val="Heading1"/>
      </w:pPr>
      <w:r>
        <w:t>7. URL-Pipeline und Sicherheitsgrenzen</w:t>
      </w:r>
    </w:p>
    <w:p>
      <w:pPr>
        <w:pStyle w:val="Heading2"/>
      </w:pPr>
      <w:r>
        <w:t>7.1 Validierung</w:t>
      </w:r>
    </w:p>
    <w:p>
      <w:pPr>
        <w:pStyle w:val="CodeBlock"/>
        <w:shd w:fill="F2F5F8"/>
      </w:pPr>
      <w:r>
        <w:t>Uri.TryCreate(value.Trim(), UriKind.Absolute, out Uri uri)</w:t>
        <w:br/>
        <w:t>&amp;&amp; (uri.Scheme == "http" || uri.Scheme == "https")</w:t>
        <w:br/>
        <w:t>&amp;&amp; !string.IsNullOrWhiteSpace(uri.Host)</w:t>
      </w:r>
    </w:p>
    <w:p>
      <w:r>
        <w:t>UrlValidator lehnt Klartext, lokale Dateipfade, file://, ftp:// und javascript: ab. UrlLauncher akzeptiert eine Uri anstelle eines Strings, wodurch die geprüfte Typgrenze im API-Design sichtbar bleibt.</w:t>
      </w:r>
    </w:p>
    <w:p>
      <w:pPr>
        <w:pStyle w:val="Heading2"/>
      </w:pPr>
      <w:r>
        <w:t>7.2 Browserstart</w:t>
      </w:r>
    </w:p>
    <w:p>
      <w:pPr>
        <w:pStyle w:val="CodeBlock"/>
        <w:shd w:fill="F2F5F8"/>
      </w:pPr>
      <w:r>
        <w:t>Process.Start(new ProcessStartInfo</w:t>
        <w:br/>
        <w:t>{</w:t>
        <w:br/>
        <w:t xml:space="preserve">    FileName = url.AbsoluteUri,</w:t>
        <w:br/>
        <w:t xml:space="preserve">    UseShellExecute = true</w:t>
        <w:br/>
        <w:t>});</w:t>
      </w:r>
    </w:p>
    <w:p>
      <w:r>
        <w:t>UseShellExecute delegiert das Öffnen an die Windows-Shell. Damit wird der registrierte Standardbrowser gestartet. Fehler werden protokolliert und als MessageBox angezeigt.</w:t>
      </w:r>
    </w:p>
    <w:p>
      <w:pPr>
        <w:pStyle w:val="Heading2"/>
      </w:pPr>
      <w:r>
        <w:t>7.3 Datenschutz im Log</w:t>
      </w:r>
    </w:p>
    <w:p>
      <w:r>
        <w:t>UrlLauncher protokolliert Schema, Host und Pfad, jedoch keine Query-Parameter. Dadurch werden Assetnummern oder andere Parameter nicht unnötig in der Logdatei gespeichert.</w:t>
      </w:r>
    </w:p>
    <w:p>
      <w:pPr>
        <w:pStyle w:val="Heading1"/>
      </w:pPr>
      <w:r>
        <w:t>8. Konfiguration und Logging</w:t>
      </w:r>
    </w:p>
    <w:p>
      <w:pPr>
        <w:pStyle w:val="Heading2"/>
      </w:pPr>
      <w:r>
        <w:t>8.1 ScannerSettings</w:t>
      </w:r>
    </w:p>
    <w:tbl>
      <w:tblPr>
        <w:tblW w:type="auto" w:w="0"/>
        <w:jc w:val="center"/>
        <w:tblLook w:firstColumn="1" w:firstRow="1" w:lastColumn="0" w:lastRow="0" w:noHBand="0" w:noVBand="1" w:val="04A0"/>
      </w:tblPr>
      <w:tblGrid>
        <w:gridCol w:w="4939"/>
        <w:gridCol w:w="4939"/>
      </w:tblGrid>
      <w:tr>
        <w:tc>
          <w:tcPr>
            <w:tcW w:type="dxa" w:w="4939"/>
            <w:shd w:fill="2F5597"/>
            <w:tcMar>
              <w:top w:w="110" w:type="dxa"/>
              <w:start w:w="110" w:type="dxa"/>
              <w:bottom w:w="110" w:type="dxa"/>
              <w:end w:w="110" w:type="dxa"/>
            </w:tcMar>
          </w:tcPr>
          <w:p>
            <w:r>
              <w:rPr>
                <w:b/>
                <w:color w:val="FFFFFF"/>
              </w:rPr>
              <w:t>Einstellung</w:t>
            </w:r>
          </w:p>
        </w:tc>
        <w:tc>
          <w:tcPr>
            <w:tcW w:type="dxa" w:w="4939"/>
            <w:shd w:fill="2F5597"/>
            <w:tcMar>
              <w:top w:w="110" w:type="dxa"/>
              <w:start w:w="110" w:type="dxa"/>
              <w:bottom w:w="110" w:type="dxa"/>
              <w:end w:w="110" w:type="dxa"/>
            </w:tcMar>
          </w:tcPr>
          <w:p>
            <w:r>
              <w:rPr>
                <w:b/>
                <w:color w:val="FFFFFF"/>
              </w:rPr>
              <w:t>Zweck</w:t>
            </w:r>
          </w:p>
        </w:tc>
      </w:tr>
      <w:tr>
        <w:tc>
          <w:tcPr>
            <w:tcW w:type="dxa" w:w="4939"/>
            <w:tcMar>
              <w:top w:w="110" w:type="dxa"/>
              <w:start w:w="110" w:type="dxa"/>
              <w:bottom w:w="110" w:type="dxa"/>
              <w:end w:w="110" w:type="dxa"/>
            </w:tcMar>
          </w:tcPr>
          <w:p>
            <w:r>
              <w:t>MaximumCharacterDelayMilliseconds</w:t>
            </w:r>
          </w:p>
        </w:tc>
        <w:tc>
          <w:tcPr>
            <w:tcW w:type="dxa" w:w="4939"/>
            <w:tcMar>
              <w:top w:w="110" w:type="dxa"/>
              <w:start w:w="110" w:type="dxa"/>
              <w:bottom w:w="110" w:type="dxa"/>
              <w:end w:w="110" w:type="dxa"/>
            </w:tcMar>
          </w:tcPr>
          <w:p>
            <w:r>
              <w:t>Maximale Unterbrechung innerhalb eines Scans.</w:t>
            </w:r>
          </w:p>
        </w:tc>
      </w:tr>
      <w:tr>
        <w:tc>
          <w:tcPr>
            <w:tcW w:type="dxa" w:w="4939"/>
            <w:tcMar>
              <w:top w:w="110" w:type="dxa"/>
              <w:start w:w="110" w:type="dxa"/>
              <w:bottom w:w="110" w:type="dxa"/>
              <w:end w:w="110" w:type="dxa"/>
            </w:tcMar>
          </w:tcPr>
          <w:p>
            <w:r>
              <w:t>ScanCompletionDelayMilliseconds</w:t>
            </w:r>
          </w:p>
        </w:tc>
        <w:tc>
          <w:tcPr>
            <w:tcW w:type="dxa" w:w="4939"/>
            <w:tcMar>
              <w:top w:w="110" w:type="dxa"/>
              <w:start w:w="110" w:type="dxa"/>
              <w:bottom w:w="110" w:type="dxa"/>
              <w:end w:w="110" w:type="dxa"/>
            </w:tcMar>
          </w:tcPr>
          <w:p>
            <w:r>
              <w:t>Timeout für Scanner ohne Enter-Suffix.</w:t>
            </w:r>
          </w:p>
        </w:tc>
      </w:tr>
      <w:tr>
        <w:tc>
          <w:tcPr>
            <w:tcW w:type="dxa" w:w="4939"/>
            <w:tcMar>
              <w:top w:w="110" w:type="dxa"/>
              <w:start w:w="110" w:type="dxa"/>
              <w:bottom w:w="110" w:type="dxa"/>
              <w:end w:w="110" w:type="dxa"/>
            </w:tcMar>
          </w:tcPr>
          <w:p>
            <w:r>
              <w:t>MinimumScanLength / MaximumScanLength</w:t>
            </w:r>
          </w:p>
        </w:tc>
        <w:tc>
          <w:tcPr>
            <w:tcW w:type="dxa" w:w="4939"/>
            <w:tcMar>
              <w:top w:w="110" w:type="dxa"/>
              <w:start w:w="110" w:type="dxa"/>
              <w:bottom w:w="110" w:type="dxa"/>
              <w:end w:w="110" w:type="dxa"/>
            </w:tcMar>
          </w:tcPr>
          <w:p>
            <w:r>
              <w:t>Plausibilitäts- und Speichergrenzen.</w:t>
            </w:r>
          </w:p>
        </w:tc>
      </w:tr>
      <w:tr>
        <w:tc>
          <w:tcPr>
            <w:tcW w:type="dxa" w:w="4939"/>
            <w:tcMar>
              <w:top w:w="110" w:type="dxa"/>
              <w:start w:w="110" w:type="dxa"/>
              <w:bottom w:w="110" w:type="dxa"/>
              <w:end w:w="110" w:type="dxa"/>
            </w:tcMar>
          </w:tcPr>
          <w:p>
            <w:r>
              <w:t>DuplicateBlockingPeriodMilliseconds</w:t>
            </w:r>
          </w:p>
        </w:tc>
        <w:tc>
          <w:tcPr>
            <w:tcW w:type="dxa" w:w="4939"/>
            <w:tcMar>
              <w:top w:w="110" w:type="dxa"/>
              <w:start w:w="110" w:type="dxa"/>
              <w:bottom w:w="110" w:type="dxa"/>
              <w:end w:w="110" w:type="dxa"/>
            </w:tcMar>
          </w:tcPr>
          <w:p>
            <w:r>
              <w:t>Zeitfenster für identische Doppelscans.</w:t>
            </w:r>
          </w:p>
        </w:tc>
      </w:tr>
      <w:tr>
        <w:tc>
          <w:tcPr>
            <w:tcW w:type="dxa" w:w="4939"/>
            <w:tcMar>
              <w:top w:w="110" w:type="dxa"/>
              <w:start w:w="110" w:type="dxa"/>
              <w:bottom w:w="110" w:type="dxa"/>
              <w:end w:w="110" w:type="dxa"/>
            </w:tcMar>
          </w:tcPr>
          <w:p>
            <w:r>
              <w:t>NotificationDurationMilliseconds</w:t>
            </w:r>
          </w:p>
        </w:tc>
        <w:tc>
          <w:tcPr>
            <w:tcW w:type="dxa" w:w="4939"/>
            <w:tcMar>
              <w:top w:w="110" w:type="dxa"/>
              <w:start w:w="110" w:type="dxa"/>
              <w:bottom w:w="110" w:type="dxa"/>
              <w:end w:w="110" w:type="dxa"/>
            </w:tcMar>
          </w:tcPr>
          <w:p>
            <w:r>
              <w:t>Anzeigedauer der Tray-Benachrichtigung.</w:t>
            </w:r>
          </w:p>
        </w:tc>
      </w:tr>
      <w:tr>
        <w:tc>
          <w:tcPr>
            <w:tcW w:type="dxa" w:w="4939"/>
            <w:tcMar>
              <w:top w:w="110" w:type="dxa"/>
              <w:start w:w="110" w:type="dxa"/>
              <w:bottom w:w="110" w:type="dxa"/>
              <w:end w:w="110" w:type="dxa"/>
            </w:tcMar>
          </w:tcPr>
          <w:p>
            <w:r>
              <w:t>MaximumLogFileSizeBytes</w:t>
            </w:r>
          </w:p>
        </w:tc>
        <w:tc>
          <w:tcPr>
            <w:tcW w:type="dxa" w:w="4939"/>
            <w:tcMar>
              <w:top w:w="110" w:type="dxa"/>
              <w:start w:w="110" w:type="dxa"/>
              <w:bottom w:w="110" w:type="dxa"/>
              <w:end w:w="110" w:type="dxa"/>
            </w:tcMar>
          </w:tcPr>
          <w:p>
            <w:r>
              <w:t>Grenze für die Logrotation.</w:t>
            </w:r>
          </w:p>
        </w:tc>
      </w:tr>
      <w:tr>
        <w:tc>
          <w:tcPr>
            <w:tcW w:type="dxa" w:w="4939"/>
            <w:tcMar>
              <w:top w:w="110" w:type="dxa"/>
              <w:start w:w="110" w:type="dxa"/>
              <w:bottom w:w="110" w:type="dxa"/>
              <w:end w:w="110" w:type="dxa"/>
            </w:tcMar>
          </w:tcPr>
          <w:p>
            <w:r>
              <w:t>TestUrl</w:t>
            </w:r>
          </w:p>
        </w:tc>
        <w:tc>
          <w:tcPr>
            <w:tcW w:type="dxa" w:w="4939"/>
            <w:tcMar>
              <w:top w:w="110" w:type="dxa"/>
              <w:start w:w="110" w:type="dxa"/>
              <w:bottom w:w="110" w:type="dxa"/>
              <w:end w:w="110" w:type="dxa"/>
            </w:tcMar>
          </w:tcPr>
          <w:p>
            <w:r>
              <w:t>Adresse für den Menüpunkt LOGINventory WebViewer öffnen.</w:t>
            </w:r>
          </w:p>
        </w:tc>
      </w:tr>
    </w:tbl>
    <w:p>
      <w:pPr>
        <w:pStyle w:val="Heading2"/>
      </w:pPr>
      <w:r>
        <w:t>8.2 Logrotation</w:t>
      </w:r>
    </w:p>
    <w:p>
      <w:r>
        <w:t>AppLogger berechnet vor dem Schreiben die erwartete Dateigröße. Wird die Grenze überschritten, wird eine vorhandene Archivdatei gelöscht, die aktuelle Datei umbenannt und anschließend eine neue aktuelle Datei begonnen.</w:t>
      </w:r>
    </w:p>
    <w:p>
      <w:pPr>
        <w:pStyle w:val="CodeBlock"/>
        <w:shd w:fill="F2F5F8"/>
      </w:pPr>
      <w:r>
        <w:t>ScannerUrlOpener.log → ScannerUrlOpener-old.log → neue ScannerUrlOpener.log</w:t>
      </w:r>
    </w:p>
    <w:p>
      <w:r>
        <w:t>Loggerfehler werden bewusst verschluckt, damit ein Dateisystemproblem nicht die Scannerfunktion beendet. Innerhalb des Logger-Catch-Blocks darf nicht erneut geloggt werden, um Rekursion zu vermeiden.</w:t>
      </w:r>
    </w:p>
    <w:p>
      <w:pPr>
        <w:pStyle w:val="Heading1"/>
      </w:pPr>
      <w:r>
        <w:t>9. Tests und Wartung</w:t>
      </w:r>
    </w:p>
    <w:p>
      <w:pPr>
        <w:pStyle w:val="Heading2"/>
      </w:pPr>
      <w:r>
        <w:t>9.1 Unit Tests</w:t>
      </w:r>
    </w:p>
    <w:tbl>
      <w:tblPr>
        <w:tblW w:type="auto" w:w="0"/>
        <w:jc w:val="center"/>
        <w:tblLook w:firstColumn="1" w:firstRow="1" w:lastColumn="0" w:lastRow="0" w:noHBand="0" w:noVBand="1" w:val="04A0"/>
      </w:tblPr>
      <w:tblGrid>
        <w:gridCol w:w="4939"/>
        <w:gridCol w:w="4939"/>
      </w:tblGrid>
      <w:tr>
        <w:tc>
          <w:tcPr>
            <w:tcW w:type="dxa" w:w="4939"/>
            <w:shd w:fill="2F5597"/>
            <w:tcMar>
              <w:top w:w="110" w:type="dxa"/>
              <w:start w:w="110" w:type="dxa"/>
              <w:bottom w:w="110" w:type="dxa"/>
              <w:end w:w="110" w:type="dxa"/>
            </w:tcMar>
          </w:tcPr>
          <w:p>
            <w:r>
              <w:rPr>
                <w:b/>
                <w:color w:val="FFFFFF"/>
              </w:rPr>
              <w:t>Testbereich</w:t>
            </w:r>
          </w:p>
        </w:tc>
        <w:tc>
          <w:tcPr>
            <w:tcW w:type="dxa" w:w="4939"/>
            <w:shd w:fill="2F5597"/>
            <w:tcMar>
              <w:top w:w="110" w:type="dxa"/>
              <w:start w:w="110" w:type="dxa"/>
              <w:bottom w:w="110" w:type="dxa"/>
              <w:end w:w="110" w:type="dxa"/>
            </w:tcMar>
          </w:tcPr>
          <w:p>
            <w:r>
              <w:rPr>
                <w:b/>
                <w:color w:val="FFFFFF"/>
              </w:rPr>
              <w:t>Abdeckung</w:t>
            </w:r>
          </w:p>
        </w:tc>
      </w:tr>
      <w:tr>
        <w:tc>
          <w:tcPr>
            <w:tcW w:type="dxa" w:w="4939"/>
            <w:tcMar>
              <w:top w:w="110" w:type="dxa"/>
              <w:start w:w="110" w:type="dxa"/>
              <w:bottom w:w="110" w:type="dxa"/>
              <w:end w:w="110" w:type="dxa"/>
            </w:tcMar>
          </w:tcPr>
          <w:p>
            <w:r>
              <w:t>UrlValidator</w:t>
            </w:r>
          </w:p>
        </w:tc>
        <w:tc>
          <w:tcPr>
            <w:tcW w:type="dxa" w:w="4939"/>
            <w:tcMar>
              <w:top w:w="110" w:type="dxa"/>
              <w:start w:w="110" w:type="dxa"/>
              <w:bottom w:w="110" w:type="dxa"/>
              <w:end w:w="110" w:type="dxa"/>
            </w:tcMar>
          </w:tcPr>
          <w:p>
            <w:r>
              <w:t>HTTP/HTTPS, Whitespace, null, verbotene Protokolle und lokale Pfade.</w:t>
            </w:r>
          </w:p>
        </w:tc>
      </w:tr>
      <w:tr>
        <w:tc>
          <w:tcPr>
            <w:tcW w:type="dxa" w:w="4939"/>
            <w:tcMar>
              <w:top w:w="110" w:type="dxa"/>
              <w:start w:w="110" w:type="dxa"/>
              <w:bottom w:w="110" w:type="dxa"/>
              <w:end w:w="110" w:type="dxa"/>
            </w:tcMar>
          </w:tcPr>
          <w:p>
            <w:r>
              <w:t>DuplicateScanGuard</w:t>
            </w:r>
          </w:p>
        </w:tc>
        <w:tc>
          <w:tcPr>
            <w:tcW w:type="dxa" w:w="4939"/>
            <w:tcMar>
              <w:top w:w="110" w:type="dxa"/>
              <w:start w:w="110" w:type="dxa"/>
              <w:bottom w:w="110" w:type="dxa"/>
              <w:end w:w="110" w:type="dxa"/>
            </w:tcMar>
          </w:tcPr>
          <w:p>
            <w:r>
              <w:t>Erster Scan, identischer Folgescan, unterschiedliche URLs und Vergleich ohne Groß-/Kleinschreibung.</w:t>
            </w:r>
          </w:p>
        </w:tc>
      </w:tr>
      <w:tr>
        <w:tc>
          <w:tcPr>
            <w:tcW w:type="dxa" w:w="4939"/>
            <w:tcMar>
              <w:top w:w="110" w:type="dxa"/>
              <w:start w:w="110" w:type="dxa"/>
              <w:bottom w:w="110" w:type="dxa"/>
              <w:end w:w="110" w:type="dxa"/>
            </w:tcMar>
          </w:tcPr>
          <w:p>
            <w:r>
              <w:t>ScannerDeviceMatcher</w:t>
            </w:r>
          </w:p>
        </w:tc>
        <w:tc>
          <w:tcPr>
            <w:tcW w:type="dxa" w:w="4939"/>
            <w:tcMar>
              <w:top w:w="110" w:type="dxa"/>
              <w:start w:w="110" w:type="dxa"/>
              <w:bottom w:w="110" w:type="dxa"/>
              <w:end w:w="110" w:type="dxa"/>
            </w:tcMar>
          </w:tcPr>
          <w:p>
            <w:r>
              <w:t>VID/PID-Extraktion, LoadIdentifier, Clear und Nichtübereinstimmung.</w:t>
            </w:r>
          </w:p>
        </w:tc>
      </w:tr>
      <w:tr>
        <w:tc>
          <w:tcPr>
            <w:tcW w:type="dxa" w:w="4939"/>
            <w:tcMar>
              <w:top w:w="110" w:type="dxa"/>
              <w:start w:w="110" w:type="dxa"/>
              <w:bottom w:w="110" w:type="dxa"/>
              <w:end w:w="110" w:type="dxa"/>
            </w:tcMar>
          </w:tcPr>
          <w:p>
            <w:r>
              <w:t>ScannerSettings</w:t>
            </w:r>
          </w:p>
        </w:tc>
        <w:tc>
          <w:tcPr>
            <w:tcW w:type="dxa" w:w="4939"/>
            <w:tcMar>
              <w:top w:w="110" w:type="dxa"/>
              <w:start w:w="110" w:type="dxa"/>
              <w:bottom w:w="110" w:type="dxa"/>
              <w:end w:w="110" w:type="dxa"/>
            </w:tcMar>
          </w:tcPr>
          <w:p>
            <w:r>
              <w:t>Standardkonfiguration und ungültige Grenzwerte bzw. Test-URL.</w:t>
            </w:r>
          </w:p>
        </w:tc>
      </w:tr>
    </w:tbl>
    <w:p>
      <w:r>
        <w:t>Das Testprojekt zielt wie das Hauptprojekt auf net8.0-windows. InternalsVisibleTo("ScannerUrlOpener.Tests") gibt interne Typen ausschließlich für das Testassembly frei.</w:t>
      </w:r>
    </w:p>
    <w:p>
      <w:pPr>
        <w:pStyle w:val="Heading2"/>
      </w:pPr>
      <w:r>
        <w:t>9.2 Integrationstests</w:t>
      </w:r>
    </w:p>
    <w:p>
      <w:pPr>
        <w:pStyle w:val="ListBullet"/>
      </w:pPr>
      <w:r>
        <w:t>Scanner anlernen und Anwendung neu starten.</w:t>
      </w:r>
    </w:p>
    <w:p>
      <w:pPr>
        <w:pStyle w:val="ListBullet"/>
      </w:pPr>
      <w:r>
        <w:t>Browser vollständig schließen und URL scannen.</w:t>
      </w:r>
    </w:p>
    <w:p>
      <w:pPr>
        <w:pStyle w:val="ListBullet"/>
      </w:pPr>
      <w:r>
        <w:t>Normale Tastatur verwenden: Browser darf nicht öffnen.</w:t>
      </w:r>
    </w:p>
    <w:p>
      <w:pPr>
        <w:pStyle w:val="ListBullet"/>
      </w:pPr>
      <w:r>
        <w:t>Identischen Barcode zweimal schnell scannen.</w:t>
      </w:r>
    </w:p>
    <w:p>
      <w:pPr>
        <w:pStyle w:val="ListBullet"/>
      </w:pPr>
      <w:r>
        <w:t>Scanner entfernen und anderes HID-Gerät anlernen.</w:t>
      </w:r>
    </w:p>
    <w:p>
      <w:pPr>
        <w:pStyle w:val="ListBullet"/>
      </w:pPr>
      <w:r>
        <w:t>Zweite Programminstanz starten.</w:t>
      </w:r>
    </w:p>
    <w:p>
      <w:pPr>
        <w:pStyle w:val="ListBullet"/>
      </w:pPr>
      <w:r>
        <w:t>Logrotation mit kleiner Testgrenze prüfen.</w:t>
      </w:r>
    </w:p>
    <w:p>
      <w:pPr>
        <w:pStyle w:val="Heading2"/>
      </w:pPr>
      <w:r>
        <w:t>9.3 Erweiterungspunkte</w:t>
      </w:r>
    </w:p>
    <w:p>
      <w:pPr>
        <w:pStyle w:val="ListBullet"/>
      </w:pPr>
      <w:r>
        <w:t>COM/CDC-Unterstützung über einen alternativen IScannerInputProvider.</w:t>
      </w:r>
    </w:p>
    <w:p>
      <w:pPr>
        <w:pStyle w:val="ListBullet"/>
      </w:pPr>
      <w:r>
        <w:t>Mehrere Scanner durch eine Liste erlaubter Gerätekennungen.</w:t>
      </w:r>
    </w:p>
    <w:p>
      <w:pPr>
        <w:pStyle w:val="ListBullet"/>
      </w:pPr>
      <w:r>
        <w:t>Gerätespezifische Zuordnung über vollständigen Gerätepfad statt VID/PID.</w:t>
      </w:r>
    </w:p>
    <w:p>
      <w:pPr>
        <w:pStyle w:val="ListBullet"/>
      </w:pPr>
      <w:r>
        <w:t>Externe JSON-Konfiguration für Settings statt kompilierter Standardwerte.</w:t>
      </w:r>
    </w:p>
    <w:p>
      <w:pPr>
        <w:pStyle w:val="ListBullet"/>
      </w:pPr>
      <w:r>
        <w:t>Dependency Injection und Interfaces für Launcher, Logger, Store und Uhrzeit.</w:t>
      </w:r>
    </w:p>
    <w:p>
      <w:pPr>
        <w:pStyle w:val="ListBullet"/>
      </w:pPr>
      <w:r>
        <w:t>Automatische Update- oder MSI-Bereitstellung für größere Rollouts.</w:t>
      </w:r>
    </w:p>
    <w:p>
      <w:pPr>
        <w:pStyle w:val="Heading1"/>
      </w:pPr>
      <w:r>
        <w:t>10. Build und Deployment</w:t>
      </w:r>
    </w:p>
    <w:p>
      <w:pPr>
        <w:pStyle w:val="Heading2"/>
      </w:pPr>
      <w:r>
        <w:t>10.1 Projektparameter</w:t>
      </w:r>
    </w:p>
    <w:p>
      <w:pPr>
        <w:pStyle w:val="CodeBlock"/>
        <w:shd w:fill="F2F5F8"/>
      </w:pPr>
      <w:r>
        <w:t>&lt;TargetFramework&gt;net8.0-windows&lt;/TargetFramework&gt;</w:t>
        <w:br/>
        <w:t>&lt;UseWindowsForms&gt;true&lt;/UseWindowsForms&gt;</w:t>
        <w:br/>
        <w:t>&lt;OutputType&gt;WinExe&lt;/OutputType&gt;</w:t>
        <w:br/>
        <w:t>&lt;ApplicationIcon&gt;ScannerUrlOpener.ico&lt;/ApplicationIcon&gt;</w:t>
      </w:r>
    </w:p>
    <w:p>
      <w:pPr>
        <w:pStyle w:val="Heading2"/>
      </w:pPr>
      <w:r>
        <w:t>10.2 Veröffentlichung</w:t>
      </w:r>
    </w:p>
    <w:p>
      <w:pPr>
        <w:pStyle w:val="ListNumber"/>
      </w:pPr>
      <w:r>
        <w:t>Release-Konfiguration auswählen.</w:t>
      </w:r>
    </w:p>
    <w:p>
      <w:pPr>
        <w:pStyle w:val="ListNumber"/>
      </w:pPr>
      <w:r>
        <w:t>Ordnerprofil erstellen.</w:t>
      </w:r>
    </w:p>
    <w:p>
      <w:pPr>
        <w:pStyle w:val="ListNumber"/>
      </w:pPr>
      <w:r>
        <w:t>Bereitstellungsmodus Eigenständig auswählen.</w:t>
      </w:r>
    </w:p>
    <w:p>
      <w:pPr>
        <w:pStyle w:val="ListNumber"/>
      </w:pPr>
      <w:r>
        <w:t>Zielruntime win-x64 auswählen.</w:t>
      </w:r>
    </w:p>
    <w:p>
      <w:pPr>
        <w:pStyle w:val="ListNumber"/>
      </w:pPr>
      <w:r>
        <w:t>Einzelne Datei erzeugen aktivieren.</w:t>
      </w:r>
    </w:p>
    <w:p>
      <w:pPr>
        <w:pStyle w:val="ListNumber"/>
      </w:pPr>
      <w:r>
        <w:t>Veröffentlichte EXE auf einem Referenzrechner testen.</w:t>
      </w:r>
    </w:p>
    <w:p>
      <w:pPr>
        <w:pStyle w:val="CodeBlock"/>
        <w:shd w:fill="F2F5F8"/>
      </w:pPr>
      <w:r>
        <w:t>Release → Folder → Self-contained → win-x64 → Produce single file</w:t>
      </w:r>
    </w:p>
    <w:p>
      <w:pPr>
        <w:pStyle w:val="Heading2"/>
      </w:pPr>
      <w:r>
        <w:t>10.3 Autostart</w:t>
      </w:r>
    </w:p>
    <w:p>
      <w:r>
        <w:t>Für den Benutzerautostart wird eine Verknüpfung zur veröffentlichten EXE in shell:startup abgelegt. Die Anwendung muss in der interaktiven Benutzersitzung laufen; ein Windows-Dienst ist für Raw Input und Browserstart nicht geeignet.</w:t>
      </w:r>
    </w:p>
    <w:tbl>
      <w:tblPr>
        <w:tblW w:type="auto" w:w="0"/>
        <w:tblLook w:firstColumn="1" w:firstRow="1" w:lastColumn="0" w:lastRow="0" w:noHBand="0" w:noVBand="1" w:val="04A0"/>
      </w:tblPr>
      <w:tblGrid>
        <w:gridCol w:w="9878"/>
      </w:tblGrid>
      <w:tr>
        <w:tc>
          <w:tcPr>
            <w:tcW w:type="dxa" w:w="9878"/>
            <w:shd w:fill="EAF2F8"/>
            <w:tcMar>
              <w:top w:w="150" w:type="dxa"/>
              <w:start w:w="150" w:type="dxa"/>
              <w:bottom w:w="150" w:type="dxa"/>
              <w:end w:w="150" w:type="dxa"/>
            </w:tcMar>
          </w:tcPr>
          <w:p>
            <w:r>
              <w:rPr>
                <w:b/>
                <w:color w:val="17365D"/>
              </w:rPr>
              <w:t>Übergabestatus</w:t>
              <w:br/>
            </w:r>
            <w:r>
              <w:t>Die Anwendung ist für übliche Windows-HID-Barcodescanner produktiv einsetzbar. Vor Änderungen an Raw-Input-Strukturen, Tastaturübersetzung oder Geräteidentifikation sind die manuellen Hardwaretests erneut durchzuführen.</w:t>
            </w:r>
          </w:p>
        </w:tc>
      </w:tr>
    </w:tbl>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 / .NET 8 / Windows Forms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rPr>
      <w:t>Scanner URL Opener | Entwicklerdokumentation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ind w:left="317" w:right="259"/>
    </w:pPr>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Scanner URL Opener - Entwicklerdokumentation</dc:title>
  <dc:subject>Technische Architektur und Implementierung</dc:subject>
  <dc:creator>Petru Gavriliuc</dc:creator>
  <keywords>C#, .NET 8, Windows Forms, Raw Input, HID, Scanner</keywords>
  <dc:description>generated by python-docx</dc:description>
  <lastModifiedBy>Petru Gavriliuc</lastModifiedBy>
  <revision>1</revision>
  <dcterms:created xsi:type="dcterms:W3CDTF">2026-08-12T18:49:52.8082045Z</dcterms:created>
  <dcterms:modified xsi:type="dcterms:W3CDTF">2026-08-12T18:49:52.8082045Z</dcterms:modified>
  <category/>
</coreProperties>
</file>