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Порівняльна таблиця видів тестування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.8"/>
        <w:gridCol w:w="2790.8"/>
        <w:gridCol w:w="2790.8"/>
        <w:gridCol w:w="2790.8"/>
        <w:gridCol w:w="2790.8"/>
        <w:tblGridChange w:id="0">
          <w:tblGrid>
            <w:gridCol w:w="2790.8"/>
            <w:gridCol w:w="2790.8"/>
            <w:gridCol w:w="2790.8"/>
            <w:gridCol w:w="2790.8"/>
            <w:gridCol w:w="2790.8"/>
          </w:tblGrid>
        </w:tblGridChange>
      </w:tblGrid>
      <w:tr>
        <w:trPr>
          <w:cantSplit w:val="0"/>
          <w:trHeight w:val="687.978515625" w:hRule="atLeast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що перевіряється</w:t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коли застосовується</w:t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обмеження</w:t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особливості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testing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функції компонента або системи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після інтеграційного тестування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даний вид тестування може бути дуже трудомістким</w:t>
            </w:r>
          </w:p>
        </w:tc>
        <w:tc>
          <w:tcPr>
            <w:tcBorders>
              <w:top w:color="000000" w:space="0" w:sz="1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можна проводити з двох точок зору: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тестування на основі вимог та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тестування на основі бізнес-процесів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якісні характеристики компонента або системи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після інтеграційного тестування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 більшості випадків це автоматизовані тести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проводиться на всіх рівнях, як і функційне тестування</w:t>
            </w:r>
          </w:p>
        </w:tc>
      </w:tr>
      <w:tr>
        <w:trPr>
          <w:cantSplit w:val="0"/>
          <w:trHeight w:val="474.00001130104096" w:hRule="atLeast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Smoke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основний функціонал системи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після збірки коду нового чи виправленого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багато функцій залишиться без уваги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можна розглядати як загальний вид тестування, що покриває усі основні функції без глибокого тестування</w:t>
            </w:r>
          </w:p>
        </w:tc>
      </w:tr>
      <w:tr>
        <w:trPr>
          <w:cantSplit w:val="0"/>
          <w:trHeight w:val="474.00001130104096" w:hRule="atLeast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Regression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функції компонента або системи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після внесення змін,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проведених у самому додатку або середовищі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даний вид тестування може бути дуже трудомістким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регресійними можуть бути як функціональні, так і нефункціональні тести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