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360" w:lineRule="auto" w:before="0" w:after="12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Отчёт по практическому занятию 2</w:t>
      </w:r>
    </w:p>
    <w:p>
      <w:pPr>
        <w:spacing w:line="360" w:lineRule="auto" w:before="0" w:after="24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Прогнозирование оттока клиентов телеком оператора</w:t>
      </w:r>
    </w:p>
    <w:p>
      <w:pPr>
        <w:spacing w:line="360" w:lineRule="auto" w:before="0" w:after="12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Использован датасет Telco Customer Churn: 7 043 клиента. Целевая переменная - Churn, доля ушедших клиентов - 26,5%.</w:t>
      </w:r>
    </w:p>
    <w:p>
      <w:pPr>
        <w:keepNext/>
        <w:spacing w:line="360" w:lineRule="auto" w:before="200" w:after="60"/>
        <w:jc w:val="left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Подготовка данных и CatBoost</w:t>
      </w:r>
    </w:p>
    <w:p>
      <w:pPr>
        <w:spacing w:line="360" w:lineRule="auto" w:before="0" w:after="12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Удалён customerID, TotalCharges приведён к числовому виду. Данные разделены в пропорции 80/20 с stratify=y. В Pipeline включены StandardScaler для численных признаков, OneHotEncoder для категориальных и CatBoostClassifier.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5040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374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Лучшие параметры</w:t>
            </w:r>
          </w:p>
        </w:tc>
        <w:tc>
          <w:tcPr>
            <w:tcW w:type="dxa" w:w="5040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depth = 4, learning_rate = 0.05</w:t>
            </w:r>
          </w:p>
        </w:tc>
      </w:tr>
      <w:tr>
        <w:tc>
          <w:tcPr>
            <w:tcW w:type="dxa" w:w="374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ROC-AUC по 3-fold CV</w:t>
            </w:r>
          </w:p>
        </w:tc>
        <w:tc>
          <w:tcPr>
            <w:tcW w:type="dxa" w:w="5040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0.8496</w:t>
            </w:r>
          </w:p>
        </w:tc>
      </w:tr>
    </w:tbl>
    <w:p>
      <w:pPr>
        <w:spacing w:line="360" w:lineRule="auto" w:before="0" w:after="0"/>
        <w:jc w:val="left"/>
      </w:pPr>
    </w:p>
    <w:p>
      <w:pPr>
        <w:keepNext/>
        <w:spacing w:line="360" w:lineRule="auto" w:before="200" w:after="60"/>
        <w:jc w:val="left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Качество CatBoost на тестовой выборке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547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Метрика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547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ROC-AUC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0.8466</w:t>
            </w:r>
          </w:p>
        </w:tc>
      </w:tr>
      <w:tr>
        <w:tc>
          <w:tcPr>
            <w:tcW w:type="dxa" w:w="547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F1 для класса Ушёл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0.5857</w:t>
            </w:r>
          </w:p>
        </w:tc>
      </w:tr>
      <w:tr>
        <w:tc>
          <w:tcPr>
            <w:tcW w:type="dxa" w:w="547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Recall для класса Ушёл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0.5160</w:t>
            </w:r>
          </w:p>
        </w:tc>
      </w:tr>
    </w:tbl>
    <w:p>
      <w:pPr>
        <w:spacing w:line="360" w:lineRule="auto" w:before="0" w:after="0"/>
        <w:jc w:val="left"/>
      </w:pPr>
    </w:p>
    <w:p>
      <w:pPr>
        <w:keepNext/>
        <w:spacing w:line="360" w:lineRule="auto" w:before="200" w:after="60"/>
        <w:jc w:val="left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Сравнение моделей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Модель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ROC-AUC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F1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Recall</w:t>
            </w:r>
          </w:p>
        </w:tc>
      </w:tr>
      <w:t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Logistic Regression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0.8421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0.6040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0.5588</w:t>
            </w:r>
          </w:p>
        </w:tc>
      </w:tr>
      <w:t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Random Forest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0.8419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0.5797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0.5107</w:t>
            </w:r>
          </w:p>
        </w:tc>
      </w:tr>
      <w:t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CatBoost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0.8466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0.5857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0.5160</w:t>
            </w:r>
          </w:p>
        </w:tc>
      </w:tr>
    </w:tbl>
    <w:p>
      <w:pPr>
        <w:spacing w:line="360" w:lineRule="auto" w:before="0" w:after="0"/>
        <w:jc w:val="left"/>
      </w:pPr>
    </w:p>
    <w:p>
      <w:pPr>
        <w:spacing w:line="360" w:lineRule="auto" w:before="0" w:after="12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CatBoost показал лучший ROC-AUC, а Logistic Regression - лучший F1.</w:t>
      </w:r>
    </w:p>
    <w:p>
      <w:pPr>
        <w:keepNext/>
        <w:spacing w:line="360" w:lineRule="auto" w:before="200" w:after="60"/>
        <w:jc w:val="left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Результат применения SMOTE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Вариант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ROC-AUC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F1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4"/>
              </w:rPr>
              <w:t>Recall</w:t>
            </w:r>
          </w:p>
        </w:tc>
      </w:tr>
      <w:t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CatBoost без SMOTE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0.8466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0.5857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0.5160</w:t>
            </w:r>
          </w:p>
        </w:tc>
      </w:tr>
      <w:tr>
        <w:tc>
          <w:tcPr>
            <w:tcW w:type="dxa" w:w="3888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CatBoost с SMOTE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0.8416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0.6284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24"/>
              </w:rPr>
              <w:t>0.7166</w:t>
            </w:r>
          </w:p>
        </w:tc>
      </w:tr>
    </w:tbl>
    <w:p>
      <w:pPr>
        <w:spacing w:line="360" w:lineRule="auto" w:before="0" w:after="0"/>
        <w:jc w:val="left"/>
      </w:pPr>
    </w:p>
    <w:p>
      <w:pPr>
        <w:spacing w:line="360" w:lineRule="auto" w:before="0" w:after="12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SMOTE увеличил Recall на 0.2005: модель стала находить больше клиентов с риском ухода.</w:t>
      </w:r>
    </w:p>
    <w:p>
      <w:pPr>
        <w:keepNext/>
        <w:spacing w:line="360" w:lineRule="auto" w:before="200" w:after="60"/>
        <w:jc w:val="left"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Важность признаков</w:t>
      </w:r>
    </w:p>
    <w:p>
      <w:pPr>
        <w:spacing w:line="360" w:lineRule="auto"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56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_black_whi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56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00"/>
        <w:jc w:val="center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Топ 10 признаков по важности CatBoost</w:t>
      </w:r>
    </w:p>
    <w:p>
      <w:pPr>
        <w:spacing w:line="360" w:lineRule="auto" w:before="0" w:after="120"/>
        <w:jc w:val="left"/>
      </w:pPr>
      <w:r>
        <w:rPr>
          <w:rFonts w:ascii="Times New Roman" w:hAnsi="Times New Roman" w:cs="Times New Roman" w:eastAsia="Times New Roman"/>
          <w:b w:val="0"/>
          <w:color w:val="000000"/>
          <w:sz w:val="24"/>
        </w:rPr>
        <w:t>Главные признаки: помесячный договор, срок обслуживания и ежемесячная плата. Если важнее не пропускать отток, предпочтителен вариант CatBoost со SMOTE.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b w:val="0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практическому занятию 2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