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Arial" w:hAnsi="Arial" w:cs="Arial"/>
          <w:b/>
          <w:color w:val="000000"/>
          <w:sz w:val="36"/>
        </w:rPr>
        <w:t>Отчёт по практическому занятию 2</w:t>
      </w:r>
    </w:p>
    <w:p>
      <w:pPr>
        <w:spacing w:after="400"/>
        <w:jc w:val="center"/>
      </w:pPr>
      <w:r>
        <w:rPr>
          <w:rFonts w:ascii="Arial" w:hAnsi="Arial" w:cs="Arial"/>
          <w:b w:val="0"/>
          <w:color w:val="000000"/>
          <w:sz w:val="24"/>
        </w:rPr>
        <w:t>Прогнозирование оттока клиентов телеком оператора</w:t>
      </w:r>
    </w:p>
    <w:p>
      <w:pPr>
        <w:spacing w:after="140" w:line="276" w:lineRule="auto"/>
      </w:pPr>
      <w:r>
        <w:rPr>
          <w:rFonts w:ascii="Arial" w:hAnsi="Arial" w:cs="Arial"/>
          <w:b w:val="0"/>
          <w:color w:val="000000"/>
          <w:sz w:val="22"/>
        </w:rPr>
        <w:t>В работе построена модель для прогноза оттока клиентов оператора связи. Использован датасет Telco Customer Churn от IBM: 7043 клиента и 21 исходный столбец. Основная модель CatBoost обучена внутри Pipeline вместе с предобработкой признаков. На тестовой выборке она получила ROC-AUC 0.8466.</w:t>
      </w:r>
    </w:p>
    <w:p>
      <w:pPr>
        <w:spacing w:after="140" w:line="276" w:lineRule="auto"/>
      </w:pPr>
      <w:r>
        <w:rPr>
          <w:rFonts w:ascii="Arial" w:hAnsi="Arial" w:cs="Arial"/>
          <w:b w:val="0"/>
          <w:color w:val="000000"/>
          <w:sz w:val="22"/>
        </w:rPr>
        <w:t>Источник данных: https://raw.githubusercontent.com/plotly/datasets/master/telco-customer-churn-by-IBM.csv</w:t>
      </w:r>
    </w:p>
    <w:p>
      <w:pPr>
        <w:pStyle w:val="Heading1"/>
        <w:spacing w:before="240" w:after="100"/>
      </w:pPr>
      <w:r>
        <w:rPr>
          <w:rFonts w:ascii="Arial" w:hAnsi="Arial" w:cs="Arial"/>
          <w:b/>
          <w:color w:val="000000"/>
          <w:sz w:val="28"/>
        </w:rPr>
        <w:t>1 Данные и подготовка</w:t>
      </w:r>
    </w:p>
    <w:p>
      <w:pPr>
        <w:spacing w:after="140" w:line="276" w:lineRule="auto"/>
      </w:pPr>
      <w:r>
        <w:rPr>
          <w:rFonts w:ascii="Arial" w:hAnsi="Arial" w:cs="Arial"/>
          <w:b w:val="0"/>
          <w:color w:val="000000"/>
          <w:sz w:val="22"/>
        </w:rPr>
        <w:t>Целевая переменная - Churn: 1 означает, что клиент ушёл, 0 - что остался. Доля ушедших клиентов составила 26.5%, поэтому классы несбалансированы. В столбце TotalCharges было 11 пустых значений; после приведения к числу они заполнены нулями. Идентификатор customerID исключён из признаков, так как он уникален для каждого клиента.</w:t>
      </w:r>
    </w:p>
    <w:p>
      <w:pPr>
        <w:spacing w:after="140" w:line="276" w:lineRule="auto"/>
      </w:pPr>
      <w:r>
        <w:rPr>
          <w:rFonts w:ascii="Arial" w:hAnsi="Arial" w:cs="Arial"/>
          <w:b w:val="0"/>
          <w:color w:val="000000"/>
          <w:sz w:val="22"/>
        </w:rPr>
        <w:t>Данные разделены на обучающую и тестовую части в пропорции 80/20 с параметром stratify=y. Так в обеих выборках сохранилась доля оттока около 26.5%. В качестве численных признаков использованы SeniorCitizen, tenure, MonthlyCharges и TotalCharges; остальные 15 признаков являются категориальными.</w:t>
      </w:r>
    </w:p>
    <w:p>
      <w:pPr>
        <w:pStyle w:val="Heading1"/>
        <w:spacing w:before="240" w:after="100"/>
      </w:pPr>
      <w:r>
        <w:rPr>
          <w:rFonts w:ascii="Arial" w:hAnsi="Arial" w:cs="Arial"/>
          <w:b/>
          <w:color w:val="000000"/>
          <w:sz w:val="28"/>
        </w:rPr>
        <w:t>2 Модель и кросс валидация</w:t>
      </w:r>
    </w:p>
    <w:p>
      <w:pPr>
        <w:spacing w:after="140" w:line="276" w:lineRule="auto"/>
      </w:pPr>
      <w:r>
        <w:rPr>
          <w:rFonts w:ascii="Arial" w:hAnsi="Arial" w:cs="Arial"/>
          <w:b w:val="0"/>
          <w:color w:val="000000"/>
          <w:sz w:val="22"/>
        </w:rPr>
        <w:t>Для численных признаков в ColumnTransformer использован StandardScaler, для категориальных - OneHotEncoder с handle_unknown=ignore. Далее ColumnTransformer и CatBoostClassifier объединены в Pipeline. Такая схема исключает утечку данных: преобразования обучаются только на train-части каждого фолда.</w:t>
      </w:r>
    </w:p>
    <w:p>
      <w:pPr>
        <w:spacing w:after="140" w:line="276" w:lineRule="auto"/>
      </w:pPr>
      <w:r>
        <w:rPr>
          <w:rFonts w:ascii="Arial" w:hAnsi="Arial" w:cs="Arial"/>
          <w:b w:val="0"/>
          <w:color w:val="000000"/>
          <w:sz w:val="22"/>
        </w:rPr>
        <w:t>Подбор параметров выполнен через GridSearchCV с трёхкратной стратифицированной кросс-валидацией и метрикой ROC-AUC. Проверялись depth = 4 и 6, а также learning_rate = 0.05 и 0.1. Лучший вариант: depth = 4, learning_rate = 0.05. Средний ROC-AUC на кросс-валидации равен 0.8496.</w:t>
      </w:r>
    </w:p>
    <w:p>
      <w:pPr>
        <w:pStyle w:val="Heading1"/>
        <w:spacing w:before="240" w:after="100"/>
      </w:pPr>
      <w:r>
        <w:rPr>
          <w:rFonts w:ascii="Arial" w:hAnsi="Arial" w:cs="Arial"/>
          <w:b/>
          <w:color w:val="000000"/>
          <w:sz w:val="28"/>
        </w:rPr>
        <w:t>3 Результат CatBoost на тестовой выборке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604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</w:rPr>
              <w:t>Метрика</w:t>
            </w:r>
          </w:p>
        </w:tc>
        <w:tc>
          <w:tcPr>
            <w:tcW w:type="dxa" w:w="3456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Accuracy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0.81</w:t>
            </w:r>
          </w:p>
        </w:tc>
      </w:tr>
      <w:tr>
        <w:tc>
          <w:tcPr>
            <w:tcW w:type="dxa" w:w="6048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ROC-AUC</w:t>
            </w:r>
          </w:p>
        </w:tc>
        <w:tc>
          <w:tcPr>
            <w:tcW w:type="dxa" w:w="345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0.8466</w:t>
            </w:r>
          </w:p>
        </w:tc>
      </w:tr>
      <w:tr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F1 для класса Ушёл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0.5857</w:t>
            </w:r>
          </w:p>
        </w:tc>
      </w:tr>
      <w:tr>
        <w:tc>
          <w:tcPr>
            <w:tcW w:type="dxa" w:w="6048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Recall для класса Ушёл</w:t>
            </w:r>
          </w:p>
        </w:tc>
        <w:tc>
          <w:tcPr>
            <w:tcW w:type="dxa" w:w="345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0.5160</w:t>
            </w:r>
          </w:p>
        </w:tc>
      </w:tr>
      <w:tr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Precision для класса Ушёл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0.68</w:t>
            </w:r>
          </w:p>
        </w:tc>
      </w:tr>
    </w:tbl>
    <w:p>
      <w:pPr>
        <w:spacing w:after="60"/>
      </w:pPr>
    </w:p>
    <w:p>
      <w:pPr>
        <w:spacing w:after="140" w:line="276" w:lineRule="auto"/>
      </w:pPr>
      <w:r>
        <w:rPr>
          <w:rFonts w:ascii="Arial" w:hAnsi="Arial" w:cs="Arial"/>
          <w:b w:val="0"/>
          <w:color w:val="000000"/>
          <w:sz w:val="22"/>
        </w:rPr>
        <w:t>ROC-AUC выше 0.84 показывает, что модель достаточно хорошо ранжирует клиентов по вероятности ухода. При пороге 0.5 CatBoost находит около 52% ушедших клиентов. Это приемлемая базовая точка, но для кампании по удержанию может быть важнее увеличить Recall.</w:t>
      </w:r>
    </w:p>
    <w:p>
      <w:pPr>
        <w:pStyle w:val="Heading1"/>
        <w:spacing w:before="240" w:after="100"/>
      </w:pPr>
      <w:r>
        <w:rPr>
          <w:rFonts w:ascii="Arial" w:hAnsi="Arial" w:cs="Arial"/>
          <w:b/>
          <w:color w:val="000000"/>
          <w:sz w:val="28"/>
        </w:rPr>
        <w:t>4 Важность признаков</w:t>
      </w:r>
    </w:p>
    <w:p>
      <w:pPr>
        <w:spacing w:after="140" w:line="276" w:lineRule="auto"/>
      </w:pPr>
      <w:r>
        <w:rPr>
          <w:rFonts w:ascii="Arial" w:hAnsi="Arial" w:cs="Arial"/>
          <w:b w:val="0"/>
          <w:color w:val="000000"/>
          <w:sz w:val="22"/>
        </w:rPr>
        <w:t>Самыми важными признаками стали помесячный договор Contract Month-to-month, срок обслуживания tenure, ежемесячная плата MonthlyCharges, договор на два года, оптоволоконный интернет и суммарные платежи. Это согласуется с интуицией: новые клиенты с помесячным договором и высокой платой чаще уходят.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35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catbo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5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cs="Arial"/>
          <w:b w:val="0"/>
          <w:color w:val="000000"/>
          <w:sz w:val="20"/>
        </w:rPr>
        <w:t>Рисунок 1 - Топ 15 признаков по важности CatBoost</w:t>
      </w:r>
    </w:p>
    <w:p>
      <w:pPr>
        <w:pStyle w:val="Heading1"/>
        <w:spacing w:before="240" w:after="100"/>
      </w:pPr>
      <w:r>
        <w:rPr>
          <w:rFonts w:ascii="Arial" w:hAnsi="Arial" w:cs="Arial"/>
          <w:b/>
          <w:color w:val="000000"/>
          <w:sz w:val="28"/>
        </w:rPr>
        <w:t>5 Сравнение моделей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74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</w:rPr>
              <w:t>Модель</w:t>
            </w:r>
          </w:p>
        </w:tc>
        <w:tc>
          <w:tcPr>
            <w:tcW w:type="dxa" w:w="1656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</w:rPr>
              <w:t>ROC-AUC</w:t>
            </w:r>
          </w:p>
        </w:tc>
        <w:tc>
          <w:tcPr>
            <w:tcW w:type="dxa" w:w="208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</w:rPr>
              <w:t>F1 класс 1</w:t>
            </w:r>
          </w:p>
        </w:tc>
        <w:tc>
          <w:tcPr>
            <w:tcW w:type="dxa" w:w="208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</w:rPr>
              <w:t>Recall класс 1</w:t>
            </w:r>
          </w:p>
        </w:tc>
      </w:tr>
      <w:tr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Logistic Regression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0.8421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0.6040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0.5588</w:t>
            </w:r>
          </w:p>
        </w:tc>
      </w:tr>
      <w:tr>
        <w:tc>
          <w:tcPr>
            <w:tcW w:type="dxa" w:w="37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Random Forest</w:t>
            </w:r>
          </w:p>
        </w:tc>
        <w:tc>
          <w:tcPr>
            <w:tcW w:type="dxa" w:w="165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0.8419</w:t>
            </w:r>
          </w:p>
        </w:tc>
        <w:tc>
          <w:tcPr>
            <w:tcW w:type="dxa" w:w="2088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0.5797</w:t>
            </w:r>
          </w:p>
        </w:tc>
        <w:tc>
          <w:tcPr>
            <w:tcW w:type="dxa" w:w="2088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0.5107</w:t>
            </w:r>
          </w:p>
        </w:tc>
      </w:tr>
      <w:tr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CatBoost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0.8466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0.5857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0.5160</w:t>
            </w:r>
          </w:p>
        </w:tc>
      </w:tr>
    </w:tbl>
    <w:p>
      <w:pPr>
        <w:spacing w:after="60"/>
      </w:pPr>
    </w:p>
    <w:p>
      <w:pPr>
        <w:spacing w:after="140" w:line="276" w:lineRule="auto"/>
      </w:pPr>
      <w:r>
        <w:rPr>
          <w:rFonts w:ascii="Arial" w:hAnsi="Arial" w:cs="Arial"/>
          <w:b w:val="0"/>
          <w:color w:val="000000"/>
          <w:sz w:val="22"/>
        </w:rPr>
        <w:t>По ROC-AUC лидирует CatBoost, хотя разница с Logistic Regression и Random Forest небольшая. По F1 класса Ушёл лучший результат у Logistic Regression. Поэтому CatBoost удобнее использовать для ранжирования риска, а выбор итоговой модели зависит от цели: максимальный ROC-AUC или более высокий F1 при фиксированном пороге.</w:t>
      </w:r>
    </w:p>
    <w:p>
      <w:pPr>
        <w:pStyle w:val="Heading1"/>
        <w:spacing w:before="240" w:after="100"/>
      </w:pPr>
      <w:r>
        <w:rPr>
          <w:rFonts w:ascii="Arial" w:hAnsi="Arial" w:cs="Arial"/>
          <w:b/>
          <w:color w:val="000000"/>
          <w:sz w:val="28"/>
        </w:rPr>
        <w:t>6 Влияние SMOTE на Recall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74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</w:rPr>
              <w:t>Вариант</w:t>
            </w:r>
          </w:p>
        </w:tc>
        <w:tc>
          <w:tcPr>
            <w:tcW w:type="dxa" w:w="1656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</w:rPr>
              <w:t>ROC-AUC</w:t>
            </w:r>
          </w:p>
        </w:tc>
        <w:tc>
          <w:tcPr>
            <w:tcW w:type="dxa" w:w="208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</w:rPr>
              <w:t>F1 класс 1</w:t>
            </w:r>
          </w:p>
        </w:tc>
        <w:tc>
          <w:tcPr>
            <w:tcW w:type="dxa" w:w="208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</w:rPr>
              <w:t>Recall класс 1</w:t>
            </w:r>
          </w:p>
        </w:tc>
      </w:tr>
      <w:tr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CatBoost без SMOTE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0.8466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0.5857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0.5160</w:t>
            </w:r>
          </w:p>
        </w:tc>
      </w:tr>
      <w:tr>
        <w:tc>
          <w:tcPr>
            <w:tcW w:type="dxa" w:w="3744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CatBoost с SMOTE</w:t>
            </w:r>
          </w:p>
        </w:tc>
        <w:tc>
          <w:tcPr>
            <w:tcW w:type="dxa" w:w="1656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0.8416</w:t>
            </w:r>
          </w:p>
        </w:tc>
        <w:tc>
          <w:tcPr>
            <w:tcW w:type="dxa" w:w="2088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0.6284</w:t>
            </w:r>
          </w:p>
        </w:tc>
        <w:tc>
          <w:tcPr>
            <w:tcW w:type="dxa" w:w="2088"/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</w:rPr>
              <w:t>0.7166</w:t>
            </w:r>
          </w:p>
        </w:tc>
      </w:tr>
    </w:tbl>
    <w:p>
      <w:pPr>
        <w:spacing w:after="60"/>
      </w:pPr>
    </w:p>
    <w:p>
      <w:pPr>
        <w:spacing w:after="140" w:line="276" w:lineRule="auto"/>
      </w:pPr>
      <w:r>
        <w:rPr>
          <w:rFonts w:ascii="Arial" w:hAnsi="Arial" w:cs="Arial"/>
          <w:b w:val="0"/>
          <w:color w:val="000000"/>
          <w:sz w:val="22"/>
        </w:rPr>
        <w:t>SMOTE применён только к тренировочной выборке внутри imbalanced-learn Pipeline. Recall вырос с 0.5160 до 0.7166, то есть на 0.2005. Модель стала находить больше клиентов, которые действительно уйдут. При этом ROC-AUC немного снизился, а часть оставшихся клиентов стала ошибочно попадать в группу риска. Если важнее не пропустить уходящих клиентов, вариант со SMOTE предпочтительнее.</w:t>
      </w:r>
    </w:p>
    <w:p>
      <w:pPr>
        <w:pStyle w:val="Heading1"/>
        <w:spacing w:before="240" w:after="100"/>
      </w:pPr>
      <w:r>
        <w:rPr>
          <w:rFonts w:ascii="Arial" w:hAnsi="Arial" w:cs="Arial"/>
          <w:b/>
          <w:color w:val="000000"/>
          <w:sz w:val="28"/>
        </w:rPr>
        <w:t>7 Вывод</w:t>
      </w:r>
    </w:p>
    <w:p>
      <w:pPr>
        <w:spacing w:after="140" w:line="276" w:lineRule="auto"/>
      </w:pPr>
      <w:r>
        <w:rPr>
          <w:rFonts w:ascii="Arial" w:hAnsi="Arial" w:cs="Arial"/>
          <w:b w:val="0"/>
          <w:color w:val="000000"/>
          <w:sz w:val="22"/>
        </w:rPr>
        <w:t>Построен полный Pipeline: предобработка через ColumnTransformer и CatBoostClassifier. Качество модели проверено с помощью GridSearchCV, classification report и ROC-AUC. CatBoost показал наибольший ROC-AUC среди трёх моделей, а SMOTE заметно увеличил Recall класса Ушёл. Для задачи удержания клиентов целесообразно рассмотреть вариант CatBoost со SMOTE, если стоимость пропуска оттока выше стоимости лишнего предложения клиенту.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практическому занятию 2</dc:title>
  <dc:subject>Прогнозирование оттока клиентов Telco Customer Churn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