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/>
          <w:color w:val="000000"/>
          <w:sz w:val="34"/>
        </w:rPr>
        <w:t>Отчёт по практическому занятию 2</w:t>
      </w:r>
    </w:p>
    <w:p>
      <w:pPr>
        <w:spacing w:after="280"/>
        <w:jc w:val="center"/>
      </w:pPr>
      <w:r>
        <w:rPr>
          <w:rFonts w:ascii="Arial" w:hAnsi="Arial" w:cs="Arial"/>
          <w:b w:val="0"/>
          <w:color w:val="000000"/>
          <w:sz w:val="22"/>
        </w:rPr>
        <w:t>Прогнозирование оттока клиентов телеком оператора</w:t>
      </w:r>
    </w:p>
    <w:p>
      <w:pPr>
        <w:spacing w:after="120" w:line="264" w:lineRule="auto"/>
      </w:pPr>
      <w:r>
        <w:rPr>
          <w:rFonts w:ascii="Arial" w:hAnsi="Arial" w:cs="Arial"/>
          <w:b w:val="0"/>
          <w:color w:val="000000"/>
          <w:sz w:val="21"/>
        </w:rPr>
        <w:t>Датасет Telco Customer Churn: 7043 клиента. Целевая переменная - Churn. Доля ушедших клиентов - 26.5%.</w:t>
      </w:r>
    </w:p>
    <w:p>
      <w:pPr>
        <w:keepNext/>
        <w:spacing w:before="200" w:after="80"/>
      </w:pPr>
      <w:r>
        <w:rPr>
          <w:rFonts w:ascii="Arial" w:hAnsi="Arial" w:cs="Arial"/>
          <w:b/>
          <w:color w:val="000000"/>
          <w:sz w:val="26"/>
        </w:rPr>
        <w:t>Подготовка и CatBoost</w:t>
      </w:r>
    </w:p>
    <w:p>
      <w:pPr>
        <w:spacing w:after="120" w:line="264" w:lineRule="auto"/>
      </w:pPr>
      <w:r>
        <w:rPr>
          <w:rFonts w:ascii="Arial" w:hAnsi="Arial" w:cs="Arial"/>
          <w:b w:val="0"/>
          <w:color w:val="000000"/>
          <w:sz w:val="21"/>
        </w:rPr>
        <w:t>Удалён customerID, TotalCharges приведён к числу. Данные разделены 80/20 с stratify=y. В Pipeline: StandardScaler для численных признаков, OneHotEncoder для категориальных и CatBoostClassifier.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360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Параметр</w:t>
            </w:r>
          </w:p>
        </w:tc>
        <w:tc>
          <w:tcPr>
            <w:tcW w:type="dxa" w:w="532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Результат</w:t>
            </w:r>
          </w:p>
        </w:tc>
      </w:tr>
      <w:tr>
        <w:tc>
          <w:tcPr>
            <w:tcW w:type="dxa" w:w="360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Лучшие параметры</w:t>
            </w:r>
          </w:p>
        </w:tc>
        <w:tc>
          <w:tcPr>
            <w:tcW w:type="dxa" w:w="532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depth = 4, learning_rate = 0.05</w:t>
            </w:r>
          </w:p>
        </w:tc>
      </w:tr>
      <w:tr>
        <w:tc>
          <w:tcPr>
            <w:tcW w:type="dxa" w:w="360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ROC-AUC по 3-fold CV</w:t>
            </w:r>
          </w:p>
        </w:tc>
        <w:tc>
          <w:tcPr>
            <w:tcW w:type="dxa" w:w="532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0.8496</w:t>
            </w:r>
          </w:p>
        </w:tc>
      </w:tr>
    </w:tbl>
    <w:p>
      <w:pPr>
        <w:spacing w:after="20"/>
      </w:pPr>
    </w:p>
    <w:p>
      <w:pPr>
        <w:keepNext/>
        <w:spacing w:before="200" w:after="80"/>
      </w:pPr>
      <w:r>
        <w:rPr>
          <w:rFonts w:ascii="Arial" w:hAnsi="Arial" w:cs="Arial"/>
          <w:b/>
          <w:color w:val="000000"/>
          <w:sz w:val="26"/>
        </w:rPr>
        <w:t>Качество CatBoost на тесте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54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Метрика</w:t>
            </w:r>
          </w:p>
        </w:tc>
        <w:tc>
          <w:tcPr>
            <w:tcW w:type="dxa" w:w="345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Значение</w:t>
            </w:r>
          </w:p>
        </w:tc>
      </w:tr>
      <w:tr>
        <w:tc>
          <w:tcPr>
            <w:tcW w:type="dxa" w:w="54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ROC-AUC</w:t>
            </w:r>
          </w:p>
        </w:tc>
        <w:tc>
          <w:tcPr>
            <w:tcW w:type="dxa" w:w="345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0.8466</w:t>
            </w:r>
          </w:p>
        </w:tc>
      </w:tr>
      <w:tr>
        <w:tc>
          <w:tcPr>
            <w:tcW w:type="dxa" w:w="54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F1 для класса Ушёл</w:t>
            </w:r>
          </w:p>
        </w:tc>
        <w:tc>
          <w:tcPr>
            <w:tcW w:type="dxa" w:w="345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0.5857</w:t>
            </w:r>
          </w:p>
        </w:tc>
      </w:tr>
      <w:tr>
        <w:tc>
          <w:tcPr>
            <w:tcW w:type="dxa" w:w="54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Recall для класса Ушёл</w:t>
            </w:r>
          </w:p>
        </w:tc>
        <w:tc>
          <w:tcPr>
            <w:tcW w:type="dxa" w:w="345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0.5160</w:t>
            </w:r>
          </w:p>
        </w:tc>
      </w:tr>
    </w:tbl>
    <w:p>
      <w:pPr>
        <w:spacing w:after="20"/>
      </w:pPr>
    </w:p>
    <w:p>
      <w:pPr>
        <w:keepNext/>
        <w:spacing w:before="200" w:after="80"/>
      </w:pPr>
      <w:r>
        <w:rPr>
          <w:rFonts w:ascii="Arial" w:hAnsi="Arial" w:cs="Arial"/>
          <w:b/>
          <w:color w:val="000000"/>
          <w:sz w:val="26"/>
        </w:rPr>
        <w:t>Сравнение моделей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388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Модель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ROC-AUC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F1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Recall</w:t>
            </w:r>
          </w:p>
        </w:tc>
      </w:tr>
      <w:tr>
        <w:tc>
          <w:tcPr>
            <w:tcW w:type="dxa" w:w="388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Logistic Regression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0.8421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0.6040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0.5588</w:t>
            </w:r>
          </w:p>
        </w:tc>
      </w:tr>
      <w:tr>
        <w:tc>
          <w:tcPr>
            <w:tcW w:type="dxa" w:w="388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Random Forest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0.8419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0.5797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0.5107</w:t>
            </w:r>
          </w:p>
        </w:tc>
      </w:tr>
      <w:tr>
        <w:tc>
          <w:tcPr>
            <w:tcW w:type="dxa" w:w="388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CatBoost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0.8466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0.5857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0.5160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Arial" w:hAnsi="Arial" w:cs="Arial"/>
          <w:b w:val="0"/>
          <w:color w:val="000000"/>
          <w:sz w:val="21"/>
        </w:rPr>
        <w:t>CatBoost показал лучший ROC-AUC, а Logistic Regression - лучший F1.</w:t>
      </w:r>
    </w:p>
    <w:p>
      <w:pPr>
        <w:keepNext/>
        <w:spacing w:before="200" w:after="80"/>
      </w:pPr>
      <w:r>
        <w:rPr>
          <w:rFonts w:ascii="Arial" w:hAnsi="Arial" w:cs="Arial"/>
          <w:b/>
          <w:color w:val="000000"/>
          <w:sz w:val="26"/>
        </w:rPr>
        <w:t>SMOTE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388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Вариант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ROC-AUC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F1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9"/>
              </w:rPr>
              <w:t>Recall</w:t>
            </w:r>
          </w:p>
        </w:tc>
      </w:tr>
      <w:tr>
        <w:tc>
          <w:tcPr>
            <w:tcW w:type="dxa" w:w="388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CatBoost без SMOTE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0.8466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0.5857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0.5160</w:t>
            </w:r>
          </w:p>
        </w:tc>
      </w:tr>
      <w:tr>
        <w:tc>
          <w:tcPr>
            <w:tcW w:type="dxa" w:w="388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CatBoost с SMOTE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0.8416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0.6284</w:t>
            </w:r>
          </w:p>
        </w:tc>
        <w:tc>
          <w:tcPr>
            <w:tcW w:type="dxa" w:w="158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color w:val="000000"/>
                <w:sz w:val="19"/>
              </w:rPr>
              <w:t>0.7166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Arial" w:hAnsi="Arial" w:cs="Arial"/>
          <w:b w:val="0"/>
          <w:color w:val="000000"/>
          <w:sz w:val="21"/>
        </w:rPr>
        <w:t>SMOTE увеличил Recall на 0.2005: модель стала находить больше клиентов с риском ухода.</w:t>
      </w:r>
    </w:p>
    <w:p>
      <w:pPr>
        <w:keepNext/>
        <w:spacing w:before="200" w:after="80"/>
      </w:pPr>
      <w:r>
        <w:rPr>
          <w:rFonts w:ascii="Arial" w:hAnsi="Arial" w:cs="Arial"/>
          <w:b/>
          <w:color w:val="000000"/>
          <w:sz w:val="26"/>
        </w:rPr>
        <w:t>Важность признаков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03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_catboo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03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hAnsi="Arial" w:cs="Arial"/>
          <w:b w:val="0"/>
          <w:color w:val="000000"/>
          <w:sz w:val="19"/>
        </w:rPr>
        <w:t>Топ 15 признаков по важности CatBoost</w:t>
      </w:r>
    </w:p>
    <w:p>
      <w:pPr>
        <w:spacing w:after="120" w:line="264" w:lineRule="auto"/>
      </w:pPr>
      <w:r>
        <w:rPr>
          <w:rFonts w:ascii="Arial" w:hAnsi="Arial" w:cs="Arial"/>
          <w:b w:val="0"/>
          <w:color w:val="000000"/>
          <w:sz w:val="21"/>
        </w:rPr>
        <w:t>Главные признаки: помесячный договор, срок обслуживания и ежемесячная плата. Для удержания клиентов полезен вариант CatBoost со SMOTE, если важнее не пропускать отток.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практическому занятию 2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