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CD180E">
        <w:trPr>
          <w:jc w:val="center"/>
        </w:trPr>
        <w:tc>
          <w:tcPr>
            <w:tcW w:w="701" w:type="dxa"/>
            <w:tcBorders>
              <w:top w:val="single" w:sz="6" w:space="0" w:color="auto"/>
              <w:bottom w:val="single" w:sz="6" w:space="0" w:color="auto"/>
            </w:tcBorders>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0D2B7AF" w14:textId="3F4DB0BD"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Border /Title block (Signatory initials, Revision Phrases, date in title block), Stamp (review/approval/construction), North direction block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CD180E">
        <w:trPr>
          <w:jc w:val="center"/>
        </w:trPr>
        <w:tc>
          <w:tcPr>
            <w:tcW w:w="701" w:type="dxa"/>
            <w:tcBorders>
              <w:top w:val="single" w:sz="6" w:space="0" w:color="auto"/>
              <w:bottom w:val="single" w:sz="6" w:space="0" w:color="auto"/>
            </w:tcBorders>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20675AF" w14:textId="0A593992" w:rsidR="006371BC" w:rsidRPr="001F33B6" w:rsidRDefault="0001241C" w:rsidP="0011417E">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 xml:space="preserve">Check changes </w:t>
            </w:r>
            <w:proofErr w:type="spellStart"/>
            <w:r w:rsidRPr="0001241C">
              <w:rPr>
                <w:rFonts w:ascii="Trebuchet MS" w:hAnsi="Trebuchet MS" w:cs="Arial"/>
                <w:sz w:val="22"/>
                <w:szCs w:val="22"/>
              </w:rPr>
              <w:t>wrt</w:t>
            </w:r>
            <w:proofErr w:type="spellEnd"/>
            <w:r w:rsidRPr="0001241C">
              <w:rPr>
                <w:rFonts w:ascii="Trebuchet MS" w:hAnsi="Trebuchet MS" w:cs="Arial"/>
                <w:sz w:val="22"/>
                <w:szCs w:val="22"/>
              </w:rPr>
              <w:t xml:space="preserve"> old revision of drawings and client comments are indicated with proper cloud mark, &amp; Rev. mark.</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CD180E">
        <w:trPr>
          <w:jc w:val="center"/>
        </w:trPr>
        <w:tc>
          <w:tcPr>
            <w:tcW w:w="701" w:type="dxa"/>
            <w:tcBorders>
              <w:top w:val="single" w:sz="6" w:space="0" w:color="auto"/>
              <w:bottom w:val="single" w:sz="6" w:space="0" w:color="auto"/>
            </w:tcBorders>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911327" w14:textId="56BAA14A"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Check Line, Text properties are followed as per project drafting philosophy / CAD manual.</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CD180E">
        <w:trPr>
          <w:jc w:val="center"/>
        </w:trPr>
        <w:tc>
          <w:tcPr>
            <w:tcW w:w="701" w:type="dxa"/>
            <w:tcBorders>
              <w:top w:val="single" w:sz="6" w:space="0" w:color="auto"/>
              <w:bottom w:val="single" w:sz="6" w:space="0" w:color="auto"/>
            </w:tcBorders>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B9E7FCD" w14:textId="356807EE"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 xml:space="preserve">Check drawing format as per Project / Client Standards / approval by lead engineer.  </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CD180E">
        <w:trPr>
          <w:jc w:val="center"/>
        </w:trPr>
        <w:tc>
          <w:tcPr>
            <w:tcW w:w="701" w:type="dxa"/>
            <w:tcBorders>
              <w:top w:val="single" w:sz="6" w:space="0" w:color="auto"/>
              <w:bottom w:val="single" w:sz="6" w:space="0" w:color="auto"/>
            </w:tcBorders>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E17724C" w14:textId="4FB85EB8"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 xml:space="preserve">Check legends, abbreviations and notes shown on drawing are relevant and appropriately referenced.  </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CD180E">
        <w:trPr>
          <w:jc w:val="center"/>
        </w:trPr>
        <w:tc>
          <w:tcPr>
            <w:tcW w:w="701" w:type="dxa"/>
            <w:tcBorders>
              <w:top w:val="single" w:sz="6" w:space="0" w:color="auto"/>
              <w:bottom w:val="single" w:sz="6" w:space="0" w:color="auto"/>
            </w:tcBorders>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5B628D" w14:textId="64C413AB"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Ensure Drawing Title, Rev matches with TDR. Soft file name / path as per project specific requirement are mentioned in drawing. Approval category to be ensured.</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CD180E">
        <w:trPr>
          <w:jc w:val="center"/>
        </w:trPr>
        <w:tc>
          <w:tcPr>
            <w:tcW w:w="701" w:type="dxa"/>
            <w:tcBorders>
              <w:top w:val="single" w:sz="6" w:space="0" w:color="auto"/>
              <w:bottom w:val="single" w:sz="6" w:space="0" w:color="auto"/>
            </w:tcBorders>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A486E4E" w14:textId="38132593"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Check the drawing is sectionalized to show inputs, outputs and logic parts of the system correctly. Modularizing of relevant inputs, outputs and the logic area with respect to the process units.</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CD180E">
        <w:trPr>
          <w:jc w:val="center"/>
        </w:trPr>
        <w:tc>
          <w:tcPr>
            <w:tcW w:w="701" w:type="dxa"/>
            <w:tcBorders>
              <w:top w:val="single" w:sz="6" w:space="0" w:color="auto"/>
              <w:bottom w:val="single" w:sz="6" w:space="0" w:color="auto"/>
            </w:tcBorders>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7AE3FE" w14:textId="50C831BA"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Ensure all symbols are as per legend sheet. All legends as per project / client standards.</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CD180E">
        <w:trPr>
          <w:jc w:val="center"/>
        </w:trPr>
        <w:tc>
          <w:tcPr>
            <w:tcW w:w="701" w:type="dxa"/>
            <w:tcBorders>
              <w:top w:val="single" w:sz="6" w:space="0" w:color="auto"/>
              <w:bottom w:val="single" w:sz="6" w:space="0" w:color="auto"/>
            </w:tcBorders>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7F451B2" w14:textId="6D3DEA40"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Ensure the legends and symbols used to represent are properly and correctly covered with clear identification and explanation.</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CD180E">
        <w:trPr>
          <w:jc w:val="center"/>
        </w:trPr>
        <w:tc>
          <w:tcPr>
            <w:tcW w:w="701" w:type="dxa"/>
            <w:tcBorders>
              <w:top w:val="single" w:sz="6" w:space="0" w:color="auto"/>
              <w:bottom w:val="single" w:sz="6" w:space="0" w:color="auto"/>
            </w:tcBorders>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ECAC9C9" w14:textId="3A98439B"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Ensure coverage of all I/</w:t>
            </w:r>
            <w:proofErr w:type="spellStart"/>
            <w:r w:rsidRPr="0001241C">
              <w:rPr>
                <w:rFonts w:ascii="Trebuchet MS" w:hAnsi="Trebuchet MS" w:cs="Arial"/>
                <w:sz w:val="22"/>
                <w:szCs w:val="22"/>
              </w:rPr>
              <w:t>Os</w:t>
            </w:r>
            <w:proofErr w:type="spellEnd"/>
            <w:r w:rsidRPr="0001241C">
              <w:rPr>
                <w:rFonts w:ascii="Trebuchet MS" w:hAnsi="Trebuchet MS" w:cs="Arial"/>
                <w:sz w:val="22"/>
                <w:szCs w:val="22"/>
              </w:rPr>
              <w:t xml:space="preserve"> indicated on </w:t>
            </w:r>
            <w:proofErr w:type="gramStart"/>
            <w:r w:rsidRPr="0001241C">
              <w:rPr>
                <w:rFonts w:ascii="Trebuchet MS" w:hAnsi="Trebuchet MS" w:cs="Arial"/>
                <w:sz w:val="22"/>
                <w:szCs w:val="22"/>
              </w:rPr>
              <w:t>cause and effect</w:t>
            </w:r>
            <w:proofErr w:type="gramEnd"/>
            <w:r w:rsidRPr="0001241C">
              <w:rPr>
                <w:rFonts w:ascii="Trebuchet MS" w:hAnsi="Trebuchet MS" w:cs="Arial"/>
                <w:sz w:val="22"/>
                <w:szCs w:val="22"/>
              </w:rPr>
              <w:t xml:space="preserve"> drawings for process and plant start-up / shutdown narrative.  Ensure coverage of all relevant I/</w:t>
            </w:r>
            <w:proofErr w:type="gramStart"/>
            <w:r w:rsidRPr="0001241C">
              <w:rPr>
                <w:rFonts w:ascii="Trebuchet MS" w:hAnsi="Trebuchet MS" w:cs="Arial"/>
                <w:sz w:val="22"/>
                <w:szCs w:val="22"/>
              </w:rPr>
              <w:t>O’s</w:t>
            </w:r>
            <w:proofErr w:type="gramEnd"/>
            <w:r w:rsidRPr="0001241C">
              <w:rPr>
                <w:rFonts w:ascii="Trebuchet MS" w:hAnsi="Trebuchet MS" w:cs="Arial"/>
                <w:sz w:val="22"/>
                <w:szCs w:val="22"/>
              </w:rPr>
              <w:t xml:space="preserve"> from F&amp;G C&amp;E drawings. These documents Shall also cover all package plants / package vendors.</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CD180E">
        <w:trPr>
          <w:jc w:val="center"/>
        </w:trPr>
        <w:tc>
          <w:tcPr>
            <w:tcW w:w="701" w:type="dxa"/>
            <w:tcBorders>
              <w:top w:val="single" w:sz="6" w:space="0" w:color="auto"/>
              <w:bottom w:val="single" w:sz="6" w:space="0" w:color="auto"/>
            </w:tcBorders>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23CF2C0" w14:textId="5795E23F"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Check maintenance overrides and start-up overrides as required are included.</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CD180E">
        <w:trPr>
          <w:jc w:val="center"/>
        </w:trPr>
        <w:tc>
          <w:tcPr>
            <w:tcW w:w="701" w:type="dxa"/>
            <w:tcBorders>
              <w:top w:val="single" w:sz="6" w:space="0" w:color="auto"/>
              <w:bottom w:val="single" w:sz="6" w:space="0" w:color="auto"/>
            </w:tcBorders>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ABBCE51" w14:textId="114CF175"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Check notes shown on drawing are relevant.</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CD180E">
        <w:trPr>
          <w:jc w:val="center"/>
        </w:trPr>
        <w:tc>
          <w:tcPr>
            <w:tcW w:w="701" w:type="dxa"/>
            <w:tcBorders>
              <w:top w:val="single" w:sz="6" w:space="0" w:color="auto"/>
              <w:bottom w:val="single" w:sz="6" w:space="0" w:color="auto"/>
            </w:tcBorders>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DBC405C" w14:textId="1BD515F3" w:rsidR="006371BC" w:rsidRPr="001F33B6" w:rsidRDefault="0001241C" w:rsidP="00F86A1C">
            <w:pPr>
              <w:tabs>
                <w:tab w:val="left" w:pos="318"/>
                <w:tab w:val="left" w:pos="432"/>
              </w:tabs>
              <w:spacing w:before="20" w:after="20"/>
              <w:jc w:val="both"/>
              <w:rPr>
                <w:rFonts w:ascii="Trebuchet MS" w:hAnsi="Trebuchet MS" w:cs="Arial"/>
                <w:sz w:val="22"/>
                <w:szCs w:val="22"/>
              </w:rPr>
            </w:pPr>
            <w:r w:rsidRPr="0001241C">
              <w:rPr>
                <w:rFonts w:ascii="Trebuchet MS" w:hAnsi="Trebuchet MS" w:cs="Arial"/>
                <w:sz w:val="22"/>
                <w:szCs w:val="22"/>
              </w:rPr>
              <w:t>Check holds if any are indicated on drawing.</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CD180E">
        <w:trPr>
          <w:jc w:val="center"/>
        </w:trPr>
        <w:tc>
          <w:tcPr>
            <w:tcW w:w="701" w:type="dxa"/>
            <w:tcBorders>
              <w:top w:val="single" w:sz="6" w:space="0" w:color="auto"/>
              <w:bottom w:val="single" w:sz="6" w:space="0" w:color="auto"/>
            </w:tcBorders>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7602182" w14:textId="3532F210"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cross reference of all the logic lines for clarity.</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CD180E">
        <w:trPr>
          <w:jc w:val="center"/>
        </w:trPr>
        <w:tc>
          <w:tcPr>
            <w:tcW w:w="701" w:type="dxa"/>
            <w:tcBorders>
              <w:top w:val="single" w:sz="6" w:space="0" w:color="auto"/>
              <w:bottom w:val="single" w:sz="6" w:space="0" w:color="auto"/>
            </w:tcBorders>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6D42E1" w14:textId="1AF91ED7"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Ensure cross reference and continuation information of multiplied I/</w:t>
            </w:r>
            <w:proofErr w:type="spellStart"/>
            <w:r w:rsidRPr="003A120B">
              <w:rPr>
                <w:rFonts w:ascii="Trebuchet MS" w:hAnsi="Trebuchet MS" w:cs="Arial"/>
                <w:sz w:val="22"/>
                <w:szCs w:val="22"/>
              </w:rPr>
              <w:t>Os</w:t>
            </w:r>
            <w:proofErr w:type="spellEnd"/>
            <w:r w:rsidRPr="003A120B">
              <w:rPr>
                <w:rFonts w:ascii="Trebuchet MS" w:hAnsi="Trebuchet MS" w:cs="Arial"/>
                <w:sz w:val="22"/>
                <w:szCs w:val="22"/>
              </w:rPr>
              <w:t xml:space="preserve"> both incoming and outgoing are correct.</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CD180E">
        <w:trPr>
          <w:jc w:val="center"/>
        </w:trPr>
        <w:tc>
          <w:tcPr>
            <w:tcW w:w="701" w:type="dxa"/>
            <w:tcBorders>
              <w:top w:val="single" w:sz="6" w:space="0" w:color="auto"/>
              <w:bottom w:val="single" w:sz="6" w:space="0" w:color="auto"/>
            </w:tcBorders>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0F1EAE5" w14:textId="14A6C23A"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the correct loop description on the title block of each logic sheet.</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CD180E">
        <w:trPr>
          <w:jc w:val="center"/>
        </w:trPr>
        <w:tc>
          <w:tcPr>
            <w:tcW w:w="701" w:type="dxa"/>
            <w:tcBorders>
              <w:top w:val="single" w:sz="6" w:space="0" w:color="auto"/>
              <w:bottom w:val="single" w:sz="6" w:space="0" w:color="auto"/>
            </w:tcBorders>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A6E31B1" w14:textId="71E871F8"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correct loop tag number, service description and clear executive action details such as open, close, start, stop, etc.</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11417E" w:rsidRPr="001F33B6" w14:paraId="4D73C9AA" w14:textId="77777777" w:rsidTr="00CD180E">
        <w:trPr>
          <w:jc w:val="center"/>
        </w:trPr>
        <w:tc>
          <w:tcPr>
            <w:tcW w:w="701" w:type="dxa"/>
            <w:tcBorders>
              <w:top w:val="single" w:sz="6" w:space="0" w:color="auto"/>
              <w:bottom w:val="single" w:sz="6" w:space="0" w:color="auto"/>
            </w:tcBorders>
          </w:tcPr>
          <w:p w14:paraId="1A21854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3036FCE" w14:textId="2E8D3B9E"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 xml:space="preserve">Check that alarm for MOS/SOS/Input unhealthy, </w:t>
            </w:r>
            <w:proofErr w:type="spellStart"/>
            <w:r w:rsidRPr="003A120B">
              <w:rPr>
                <w:rFonts w:ascii="Trebuchet MS" w:hAnsi="Trebuchet MS" w:cs="Arial"/>
                <w:sz w:val="22"/>
                <w:szCs w:val="22"/>
              </w:rPr>
              <w:t>etc</w:t>
            </w:r>
            <w:proofErr w:type="spellEnd"/>
            <w:r w:rsidRPr="003A120B">
              <w:rPr>
                <w:rFonts w:ascii="Trebuchet MS" w:hAnsi="Trebuchet MS" w:cs="Arial"/>
                <w:sz w:val="22"/>
                <w:szCs w:val="22"/>
              </w:rPr>
              <w:t>, are covered.</w:t>
            </w:r>
          </w:p>
        </w:tc>
        <w:tc>
          <w:tcPr>
            <w:tcW w:w="851" w:type="dxa"/>
            <w:tcBorders>
              <w:top w:val="single" w:sz="6" w:space="0" w:color="auto"/>
              <w:bottom w:val="single" w:sz="6" w:space="0" w:color="auto"/>
            </w:tcBorders>
          </w:tcPr>
          <w:p w14:paraId="05E4F859" w14:textId="29BFF90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181EE3" w14:textId="44C051D6"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65B8EB" w14:textId="77777777" w:rsidR="0011417E" w:rsidRPr="001F33B6" w:rsidRDefault="0011417E" w:rsidP="0011417E">
            <w:pPr>
              <w:spacing w:before="20" w:after="20"/>
              <w:rPr>
                <w:rFonts w:ascii="Trebuchet MS" w:hAnsi="Trebuchet MS" w:cs="Arial"/>
                <w:sz w:val="22"/>
                <w:szCs w:val="22"/>
              </w:rPr>
            </w:pPr>
          </w:p>
        </w:tc>
      </w:tr>
      <w:tr w:rsidR="0011417E" w:rsidRPr="001F33B6" w14:paraId="7AED7AB2" w14:textId="77777777" w:rsidTr="00CD180E">
        <w:trPr>
          <w:jc w:val="center"/>
        </w:trPr>
        <w:tc>
          <w:tcPr>
            <w:tcW w:w="701" w:type="dxa"/>
            <w:tcBorders>
              <w:top w:val="single" w:sz="6" w:space="0" w:color="auto"/>
              <w:bottom w:val="single" w:sz="6" w:space="0" w:color="auto"/>
            </w:tcBorders>
          </w:tcPr>
          <w:p w14:paraId="07F720B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EADB896" w14:textId="056E3B4F"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to indicate time delay (on delay, off delay, etc.) and reset as required.</w:t>
            </w:r>
          </w:p>
        </w:tc>
        <w:tc>
          <w:tcPr>
            <w:tcW w:w="851" w:type="dxa"/>
            <w:tcBorders>
              <w:top w:val="single" w:sz="6" w:space="0" w:color="auto"/>
              <w:bottom w:val="single" w:sz="6" w:space="0" w:color="auto"/>
            </w:tcBorders>
          </w:tcPr>
          <w:p w14:paraId="598F1241" w14:textId="21105A9B"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BC378E" w14:textId="0B70BA5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AC2AAA" w14:textId="77777777" w:rsidR="0011417E" w:rsidRPr="001F33B6" w:rsidRDefault="0011417E" w:rsidP="0011417E">
            <w:pPr>
              <w:spacing w:before="20" w:after="20"/>
              <w:rPr>
                <w:rFonts w:ascii="Trebuchet MS" w:hAnsi="Trebuchet MS" w:cs="Arial"/>
                <w:sz w:val="22"/>
                <w:szCs w:val="22"/>
              </w:rPr>
            </w:pPr>
          </w:p>
        </w:tc>
      </w:tr>
      <w:tr w:rsidR="0011417E" w:rsidRPr="001F33B6" w14:paraId="54903682" w14:textId="77777777" w:rsidTr="00CD180E">
        <w:trPr>
          <w:jc w:val="center"/>
        </w:trPr>
        <w:tc>
          <w:tcPr>
            <w:tcW w:w="701" w:type="dxa"/>
            <w:tcBorders>
              <w:top w:val="single" w:sz="6" w:space="0" w:color="auto"/>
              <w:bottom w:val="single" w:sz="6" w:space="0" w:color="auto"/>
            </w:tcBorders>
          </w:tcPr>
          <w:p w14:paraId="638A5C2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DFD3042" w14:textId="4B358E76"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Ensure the field instruments are identified clearly.</w:t>
            </w:r>
          </w:p>
        </w:tc>
        <w:tc>
          <w:tcPr>
            <w:tcW w:w="851" w:type="dxa"/>
            <w:tcBorders>
              <w:top w:val="single" w:sz="6" w:space="0" w:color="auto"/>
              <w:bottom w:val="single" w:sz="6" w:space="0" w:color="auto"/>
            </w:tcBorders>
          </w:tcPr>
          <w:p w14:paraId="05313EC1" w14:textId="7EA845E8"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D411F5F" w14:textId="188ED3FD"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65D4E43" w14:textId="77777777" w:rsidR="0011417E" w:rsidRPr="001F33B6" w:rsidRDefault="0011417E" w:rsidP="0011417E">
            <w:pPr>
              <w:spacing w:before="20" w:after="20"/>
              <w:rPr>
                <w:rFonts w:ascii="Trebuchet MS" w:hAnsi="Trebuchet MS" w:cs="Arial"/>
                <w:sz w:val="22"/>
                <w:szCs w:val="22"/>
              </w:rPr>
            </w:pPr>
          </w:p>
        </w:tc>
      </w:tr>
      <w:tr w:rsidR="0011417E" w:rsidRPr="001F33B6" w14:paraId="41A91BB9" w14:textId="77777777" w:rsidTr="00CD180E">
        <w:trPr>
          <w:jc w:val="center"/>
        </w:trPr>
        <w:tc>
          <w:tcPr>
            <w:tcW w:w="701" w:type="dxa"/>
            <w:tcBorders>
              <w:top w:val="single" w:sz="6" w:space="0" w:color="auto"/>
              <w:bottom w:val="single" w:sz="6" w:space="0" w:color="auto"/>
            </w:tcBorders>
          </w:tcPr>
          <w:p w14:paraId="47908CD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F792041" w14:textId="4E972D71"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Agreement of initiator and actuations with cause and effects.</w:t>
            </w:r>
          </w:p>
        </w:tc>
        <w:tc>
          <w:tcPr>
            <w:tcW w:w="851" w:type="dxa"/>
            <w:tcBorders>
              <w:top w:val="single" w:sz="6" w:space="0" w:color="auto"/>
              <w:bottom w:val="single" w:sz="6" w:space="0" w:color="auto"/>
            </w:tcBorders>
          </w:tcPr>
          <w:p w14:paraId="34D71DE7" w14:textId="7BCA6FC9"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A2FAEA" w14:textId="202F6BA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680AE3C" w14:textId="77777777" w:rsidR="0011417E" w:rsidRPr="001F33B6" w:rsidRDefault="0011417E" w:rsidP="0011417E">
            <w:pPr>
              <w:spacing w:before="20" w:after="20"/>
              <w:rPr>
                <w:rFonts w:ascii="Trebuchet MS" w:hAnsi="Trebuchet MS" w:cs="Arial"/>
                <w:sz w:val="22"/>
                <w:szCs w:val="22"/>
              </w:rPr>
            </w:pPr>
          </w:p>
        </w:tc>
      </w:tr>
      <w:tr w:rsidR="0011417E" w:rsidRPr="001F33B6" w14:paraId="7602523A" w14:textId="77777777" w:rsidTr="00CD180E">
        <w:trPr>
          <w:jc w:val="center"/>
        </w:trPr>
        <w:tc>
          <w:tcPr>
            <w:tcW w:w="701" w:type="dxa"/>
            <w:tcBorders>
              <w:top w:val="single" w:sz="6" w:space="0" w:color="auto"/>
              <w:bottom w:val="single" w:sz="6" w:space="0" w:color="auto"/>
            </w:tcBorders>
          </w:tcPr>
          <w:p w14:paraId="15BC2D3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F1E3658" w14:textId="1F6A351C"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reference P&amp;IDs and cause and effect drawing numbers.</w:t>
            </w:r>
          </w:p>
        </w:tc>
        <w:tc>
          <w:tcPr>
            <w:tcW w:w="851" w:type="dxa"/>
            <w:tcBorders>
              <w:top w:val="single" w:sz="6" w:space="0" w:color="auto"/>
              <w:bottom w:val="single" w:sz="6" w:space="0" w:color="auto"/>
            </w:tcBorders>
          </w:tcPr>
          <w:p w14:paraId="7517B8BD" w14:textId="5640D1D5"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A1724B8" w14:textId="0FBECA2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4E87CA3" w14:textId="77777777" w:rsidR="0011417E" w:rsidRPr="001F33B6" w:rsidRDefault="0011417E" w:rsidP="0011417E">
            <w:pPr>
              <w:spacing w:before="20" w:after="20"/>
              <w:rPr>
                <w:rFonts w:ascii="Trebuchet MS" w:hAnsi="Trebuchet MS" w:cs="Arial"/>
                <w:sz w:val="22"/>
                <w:szCs w:val="22"/>
              </w:rPr>
            </w:pPr>
          </w:p>
        </w:tc>
      </w:tr>
      <w:tr w:rsidR="0011417E" w:rsidRPr="001F33B6" w14:paraId="0D63C4E4" w14:textId="77777777" w:rsidTr="00CD180E">
        <w:trPr>
          <w:jc w:val="center"/>
        </w:trPr>
        <w:tc>
          <w:tcPr>
            <w:tcW w:w="701" w:type="dxa"/>
            <w:tcBorders>
              <w:top w:val="single" w:sz="6" w:space="0" w:color="auto"/>
              <w:bottom w:val="single" w:sz="6" w:space="0" w:color="auto"/>
            </w:tcBorders>
          </w:tcPr>
          <w:p w14:paraId="208DFA28"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1C28E34" w14:textId="4CC231A8"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mimic lamps and alarm outputs (hardwired and serial links) are properly indicated.</w:t>
            </w:r>
          </w:p>
        </w:tc>
        <w:tc>
          <w:tcPr>
            <w:tcW w:w="851" w:type="dxa"/>
            <w:tcBorders>
              <w:top w:val="single" w:sz="6" w:space="0" w:color="auto"/>
              <w:bottom w:val="single" w:sz="6" w:space="0" w:color="auto"/>
            </w:tcBorders>
          </w:tcPr>
          <w:p w14:paraId="1FD600D0" w14:textId="255CD6C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FE9ED93" w14:textId="75A7C5F6"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C4C1237" w14:textId="77777777" w:rsidR="0011417E" w:rsidRPr="001F33B6" w:rsidRDefault="0011417E" w:rsidP="0011417E">
            <w:pPr>
              <w:spacing w:before="20" w:after="20"/>
              <w:rPr>
                <w:rFonts w:ascii="Trebuchet MS" w:hAnsi="Trebuchet MS" w:cs="Arial"/>
                <w:sz w:val="22"/>
                <w:szCs w:val="22"/>
              </w:rPr>
            </w:pPr>
          </w:p>
        </w:tc>
      </w:tr>
      <w:tr w:rsidR="0011417E" w:rsidRPr="001F33B6" w14:paraId="360E8E10" w14:textId="77777777" w:rsidTr="00CD180E">
        <w:trPr>
          <w:jc w:val="center"/>
        </w:trPr>
        <w:tc>
          <w:tcPr>
            <w:tcW w:w="701" w:type="dxa"/>
            <w:tcBorders>
              <w:top w:val="single" w:sz="6" w:space="0" w:color="auto"/>
              <w:bottom w:val="single" w:sz="6" w:space="0" w:color="auto"/>
            </w:tcBorders>
          </w:tcPr>
          <w:p w14:paraId="227800F3"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C921CC" w14:textId="441F2A17"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all hard wired, soft wired and serial link connections are represented.</w:t>
            </w:r>
          </w:p>
        </w:tc>
        <w:tc>
          <w:tcPr>
            <w:tcW w:w="851" w:type="dxa"/>
            <w:tcBorders>
              <w:top w:val="single" w:sz="6" w:space="0" w:color="auto"/>
              <w:bottom w:val="single" w:sz="6" w:space="0" w:color="auto"/>
            </w:tcBorders>
          </w:tcPr>
          <w:p w14:paraId="6F227FCD" w14:textId="4062676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98DBC82" w14:textId="1A24B53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858364" w14:textId="77777777" w:rsidR="0011417E" w:rsidRPr="001F33B6" w:rsidRDefault="0011417E" w:rsidP="0011417E">
            <w:pPr>
              <w:spacing w:before="20" w:after="20"/>
              <w:rPr>
                <w:rFonts w:ascii="Trebuchet MS" w:hAnsi="Trebuchet MS" w:cs="Arial"/>
                <w:sz w:val="22"/>
                <w:szCs w:val="22"/>
              </w:rPr>
            </w:pPr>
          </w:p>
        </w:tc>
      </w:tr>
      <w:tr w:rsidR="0011417E" w:rsidRPr="001F33B6" w14:paraId="13190003" w14:textId="77777777" w:rsidTr="00CD180E">
        <w:trPr>
          <w:jc w:val="center"/>
        </w:trPr>
        <w:tc>
          <w:tcPr>
            <w:tcW w:w="701" w:type="dxa"/>
            <w:tcBorders>
              <w:top w:val="single" w:sz="6" w:space="0" w:color="auto"/>
              <w:bottom w:val="single" w:sz="6" w:space="0" w:color="auto"/>
            </w:tcBorders>
          </w:tcPr>
          <w:p w14:paraId="48A7AB1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35A707C" w14:textId="054754D6"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whether items being modified as existing or new are indicated.</w:t>
            </w:r>
          </w:p>
        </w:tc>
        <w:tc>
          <w:tcPr>
            <w:tcW w:w="851" w:type="dxa"/>
            <w:tcBorders>
              <w:top w:val="single" w:sz="6" w:space="0" w:color="auto"/>
              <w:bottom w:val="single" w:sz="6" w:space="0" w:color="auto"/>
            </w:tcBorders>
          </w:tcPr>
          <w:p w14:paraId="1F9A1F90" w14:textId="6C91A0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99AF8" w14:textId="29C72F89"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7B1D1F" w14:textId="77777777" w:rsidR="0011417E" w:rsidRPr="001F33B6" w:rsidRDefault="0011417E" w:rsidP="0011417E">
            <w:pPr>
              <w:spacing w:before="20" w:after="20"/>
              <w:rPr>
                <w:rFonts w:ascii="Trebuchet MS" w:hAnsi="Trebuchet MS" w:cs="Arial"/>
                <w:sz w:val="22"/>
                <w:szCs w:val="22"/>
              </w:rPr>
            </w:pPr>
          </w:p>
        </w:tc>
      </w:tr>
      <w:tr w:rsidR="0011417E" w:rsidRPr="001F33B6" w14:paraId="75395C06" w14:textId="77777777" w:rsidTr="00CD180E">
        <w:trPr>
          <w:jc w:val="center"/>
        </w:trPr>
        <w:tc>
          <w:tcPr>
            <w:tcW w:w="701" w:type="dxa"/>
            <w:tcBorders>
              <w:top w:val="single" w:sz="6" w:space="0" w:color="auto"/>
              <w:bottom w:val="single" w:sz="6" w:space="0" w:color="auto"/>
            </w:tcBorders>
          </w:tcPr>
          <w:p w14:paraId="609AE24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0E6A9A9" w14:textId="47471DA0" w:rsidR="0011417E" w:rsidRPr="0011417E" w:rsidRDefault="003A120B" w:rsidP="0011417E">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holds if any are indicated on drawing, with proper HOLD clouds.</w:t>
            </w:r>
          </w:p>
        </w:tc>
        <w:tc>
          <w:tcPr>
            <w:tcW w:w="851" w:type="dxa"/>
            <w:tcBorders>
              <w:top w:val="single" w:sz="6" w:space="0" w:color="auto"/>
              <w:bottom w:val="single" w:sz="6" w:space="0" w:color="auto"/>
            </w:tcBorders>
          </w:tcPr>
          <w:p w14:paraId="1C078E44" w14:textId="597756F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E98052" w14:textId="524F098E"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ECBDC7" w14:textId="77777777" w:rsidR="0011417E" w:rsidRPr="001F33B6" w:rsidRDefault="0011417E" w:rsidP="0011417E">
            <w:pPr>
              <w:spacing w:before="20" w:after="20"/>
              <w:rPr>
                <w:rFonts w:ascii="Trebuchet MS" w:hAnsi="Trebuchet MS" w:cs="Arial"/>
                <w:sz w:val="22"/>
                <w:szCs w:val="22"/>
              </w:rPr>
            </w:pPr>
          </w:p>
        </w:tc>
      </w:tr>
      <w:tr w:rsidR="003A120B" w:rsidRPr="001F33B6" w14:paraId="017A2C76" w14:textId="77777777" w:rsidTr="00CD180E">
        <w:trPr>
          <w:jc w:val="center"/>
        </w:trPr>
        <w:tc>
          <w:tcPr>
            <w:tcW w:w="701" w:type="dxa"/>
            <w:tcBorders>
              <w:top w:val="single" w:sz="6" w:space="0" w:color="auto"/>
              <w:bottom w:val="single" w:sz="6" w:space="0" w:color="auto"/>
            </w:tcBorders>
          </w:tcPr>
          <w:p w14:paraId="0FB2BA1B" w14:textId="77777777" w:rsidR="003A120B" w:rsidRPr="001F33B6" w:rsidRDefault="003A120B" w:rsidP="003A120B">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69A69B6" w14:textId="4E767884" w:rsidR="003A120B" w:rsidRPr="003A120B" w:rsidRDefault="003A120B" w:rsidP="003A120B">
            <w:pPr>
              <w:tabs>
                <w:tab w:val="left" w:pos="318"/>
                <w:tab w:val="left" w:pos="432"/>
              </w:tabs>
              <w:spacing w:before="20" w:after="20"/>
              <w:jc w:val="both"/>
              <w:rPr>
                <w:rFonts w:ascii="Trebuchet MS" w:hAnsi="Trebuchet MS" w:cs="Arial"/>
                <w:sz w:val="22"/>
                <w:szCs w:val="22"/>
              </w:rPr>
            </w:pPr>
            <w:r w:rsidRPr="003A120B">
              <w:rPr>
                <w:rFonts w:ascii="Trebuchet MS" w:hAnsi="Trebuchet MS" w:cs="Arial"/>
                <w:sz w:val="22"/>
                <w:szCs w:val="22"/>
              </w:rPr>
              <w:t>Check that no abbreviations are used in Drawing title.</w:t>
            </w:r>
          </w:p>
        </w:tc>
        <w:tc>
          <w:tcPr>
            <w:tcW w:w="851" w:type="dxa"/>
            <w:tcBorders>
              <w:top w:val="single" w:sz="6" w:space="0" w:color="auto"/>
              <w:bottom w:val="single" w:sz="6" w:space="0" w:color="auto"/>
            </w:tcBorders>
          </w:tcPr>
          <w:p w14:paraId="7CD64507" w14:textId="53601D08" w:rsidR="003A120B" w:rsidRPr="001F33B6" w:rsidRDefault="003A120B" w:rsidP="003A120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3231C8C" w14:textId="29468F3A" w:rsidR="003A120B" w:rsidRPr="001F33B6" w:rsidRDefault="003A120B" w:rsidP="003A120B">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50AFC34" w14:textId="77777777" w:rsidR="003A120B" w:rsidRPr="001F33B6" w:rsidRDefault="003A120B" w:rsidP="003A120B">
            <w:pPr>
              <w:spacing w:before="20" w:after="20"/>
              <w:rPr>
                <w:rFonts w:ascii="Trebuchet MS" w:hAnsi="Trebuchet MS" w:cs="Arial"/>
                <w:sz w:val="22"/>
                <w:szCs w:val="22"/>
              </w:rPr>
            </w:pPr>
          </w:p>
        </w:tc>
      </w:tr>
    </w:tbl>
    <w:p w14:paraId="0381C709" w14:textId="7B781FEE" w:rsidR="00186F20" w:rsidRDefault="00186F20">
      <w:pPr>
        <w:spacing w:after="160" w:line="259" w:lineRule="auto"/>
        <w:rPr>
          <w:rFonts w:ascii="Trebuchet MS" w:hAnsi="Trebuchet MS" w:cs="Arial"/>
          <w:sz w:val="22"/>
          <w:szCs w:val="22"/>
        </w:rPr>
      </w:pPr>
    </w:p>
    <w:p w14:paraId="782EEE76" w14:textId="77777777" w:rsidR="0011417E" w:rsidRPr="001F33B6" w:rsidRDefault="0011417E">
      <w:pPr>
        <w:spacing w:after="160" w:line="259" w:lineRule="auto"/>
        <w:rPr>
          <w:rFonts w:ascii="Trebuchet MS" w:hAnsi="Trebuchet MS" w:cs="Arial"/>
          <w:sz w:val="22"/>
          <w:szCs w:val="22"/>
        </w:rPr>
      </w:pPr>
    </w:p>
    <w:p w14:paraId="1020DD73" w14:textId="77777777" w:rsidR="00186F20" w:rsidRDefault="00186F20" w:rsidP="000844DD">
      <w:pPr>
        <w:rPr>
          <w:rFonts w:ascii="Trebuchet MS" w:hAnsi="Trebuchet MS" w:cs="Arial"/>
          <w:sz w:val="22"/>
          <w:szCs w:val="22"/>
        </w:rPr>
      </w:pPr>
    </w:p>
    <w:p w14:paraId="5561265A" w14:textId="0B091EB2" w:rsidR="003A120B" w:rsidRDefault="003A120B">
      <w:pPr>
        <w:spacing w:after="160" w:line="259" w:lineRule="auto"/>
        <w:rPr>
          <w:rFonts w:ascii="Trebuchet MS" w:hAnsi="Trebuchet MS" w:cs="Arial"/>
          <w:sz w:val="22"/>
          <w:szCs w:val="22"/>
        </w:rPr>
      </w:pPr>
      <w:r>
        <w:rPr>
          <w:rFonts w:ascii="Trebuchet MS" w:hAnsi="Trebuchet MS" w:cs="Arial"/>
          <w:sz w:val="22"/>
          <w:szCs w:val="22"/>
        </w:rPr>
        <w:br w:type="page"/>
      </w:r>
    </w:p>
    <w:p w14:paraId="77EB3787" w14:textId="77777777" w:rsidR="003A120B" w:rsidRDefault="003A120B" w:rsidP="000844DD">
      <w:pPr>
        <w:rPr>
          <w:rFonts w:ascii="Trebuchet MS" w:hAnsi="Trebuchet MS" w:cs="Arial"/>
          <w:sz w:val="22"/>
          <w:szCs w:val="22"/>
        </w:rPr>
      </w:pPr>
    </w:p>
    <w:p w14:paraId="39908A89" w14:textId="77777777" w:rsidR="003A120B" w:rsidRPr="001F33B6" w:rsidRDefault="003A120B"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E42E3" w14:textId="77777777" w:rsidR="00921682" w:rsidRDefault="00921682" w:rsidP="000844DD">
      <w:r>
        <w:separator/>
      </w:r>
    </w:p>
  </w:endnote>
  <w:endnote w:type="continuationSeparator" w:id="0">
    <w:p w14:paraId="3435AE42" w14:textId="77777777" w:rsidR="00921682" w:rsidRDefault="0092168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01F6" w14:textId="77777777" w:rsidR="00921682" w:rsidRDefault="00921682" w:rsidP="000844DD">
      <w:r>
        <w:separator/>
      </w:r>
    </w:p>
  </w:footnote>
  <w:footnote w:type="continuationSeparator" w:id="0">
    <w:p w14:paraId="1E4B336B" w14:textId="77777777" w:rsidR="00921682" w:rsidRDefault="0092168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60EE126" w14:textId="7A956551" w:rsidR="001F33B6" w:rsidRDefault="001F33B6" w:rsidP="001F33B6">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61EE19A8" w:rsidR="001F33B6" w:rsidRPr="00573127" w:rsidRDefault="0001241C" w:rsidP="0011417E">
          <w:pPr>
            <w:pStyle w:val="Header"/>
            <w:jc w:val="center"/>
            <w:rPr>
              <w:rFonts w:ascii="Trebuchet MS" w:hAnsi="Trebuchet MS" w:cs="Arial"/>
              <w:sz w:val="28"/>
              <w:szCs w:val="28"/>
            </w:rPr>
          </w:pPr>
          <w:r>
            <w:rPr>
              <w:rFonts w:ascii="Trebuchet MS" w:hAnsi="Trebuchet MS" w:cs="Arial"/>
              <w:sz w:val="28"/>
              <w:szCs w:val="28"/>
            </w:rPr>
            <w:t>FUNCTIONAL LOGIC DIAGRAM</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6B03C039"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11417E">
            <w:rPr>
              <w:rFonts w:ascii="Trebuchet MS" w:hAnsi="Trebuchet MS" w:cs="Arial"/>
            </w:rPr>
            <w:t>0</w:t>
          </w:r>
          <w:r w:rsidR="0001241C">
            <w:rPr>
              <w:rFonts w:ascii="Trebuchet MS" w:hAnsi="Trebuchet MS" w:cs="Arial"/>
            </w:rPr>
            <w:t>6</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1241C"/>
    <w:rsid w:val="00027536"/>
    <w:rsid w:val="00045899"/>
    <w:rsid w:val="000541A3"/>
    <w:rsid w:val="00061C32"/>
    <w:rsid w:val="0006365D"/>
    <w:rsid w:val="00064AAF"/>
    <w:rsid w:val="000844DD"/>
    <w:rsid w:val="000A10E0"/>
    <w:rsid w:val="0011417E"/>
    <w:rsid w:val="00115B12"/>
    <w:rsid w:val="00182F53"/>
    <w:rsid w:val="00186F20"/>
    <w:rsid w:val="00194FE3"/>
    <w:rsid w:val="001F172A"/>
    <w:rsid w:val="001F33B6"/>
    <w:rsid w:val="0022282D"/>
    <w:rsid w:val="00250B8C"/>
    <w:rsid w:val="002938CF"/>
    <w:rsid w:val="002E6B6D"/>
    <w:rsid w:val="002F7B64"/>
    <w:rsid w:val="003242E2"/>
    <w:rsid w:val="00334BEA"/>
    <w:rsid w:val="003521EC"/>
    <w:rsid w:val="00354499"/>
    <w:rsid w:val="00391F5D"/>
    <w:rsid w:val="003A120B"/>
    <w:rsid w:val="003A570C"/>
    <w:rsid w:val="003C0CBE"/>
    <w:rsid w:val="003E4960"/>
    <w:rsid w:val="00404948"/>
    <w:rsid w:val="00407B62"/>
    <w:rsid w:val="00433C5B"/>
    <w:rsid w:val="00442B7E"/>
    <w:rsid w:val="004B0660"/>
    <w:rsid w:val="00531C3B"/>
    <w:rsid w:val="0056693E"/>
    <w:rsid w:val="00567FBB"/>
    <w:rsid w:val="006371BC"/>
    <w:rsid w:val="006F36DC"/>
    <w:rsid w:val="007043C5"/>
    <w:rsid w:val="00730A42"/>
    <w:rsid w:val="00766CA8"/>
    <w:rsid w:val="007B38DF"/>
    <w:rsid w:val="007E25A5"/>
    <w:rsid w:val="0083597E"/>
    <w:rsid w:val="00835D00"/>
    <w:rsid w:val="008661CE"/>
    <w:rsid w:val="0087368B"/>
    <w:rsid w:val="0089533B"/>
    <w:rsid w:val="008E749F"/>
    <w:rsid w:val="008F6F67"/>
    <w:rsid w:val="0090479E"/>
    <w:rsid w:val="0092009E"/>
    <w:rsid w:val="00921682"/>
    <w:rsid w:val="00985001"/>
    <w:rsid w:val="00A32041"/>
    <w:rsid w:val="00A32ACB"/>
    <w:rsid w:val="00A4097F"/>
    <w:rsid w:val="00A83A80"/>
    <w:rsid w:val="00B5075F"/>
    <w:rsid w:val="00C61DD8"/>
    <w:rsid w:val="00C934D4"/>
    <w:rsid w:val="00C95E1A"/>
    <w:rsid w:val="00CA4AD9"/>
    <w:rsid w:val="00D5241A"/>
    <w:rsid w:val="00DA345F"/>
    <w:rsid w:val="00DE38EE"/>
    <w:rsid w:val="00DE5AC0"/>
    <w:rsid w:val="00DF2179"/>
    <w:rsid w:val="00F86A1C"/>
    <w:rsid w:val="00FD439B"/>
    <w:rsid w:val="00FE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2025-02-25T06:50:00Z</dcterms:created>
  <dcterms:modified xsi:type="dcterms:W3CDTF">2025-02-25T06:50:00Z</dcterms:modified>
</cp:coreProperties>
</file>