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D99A22"/>
          <w:sz w:val="20"/>
        </w:rPr>
        <w:t>BUSINESS REQUIREMENTS DOCUMENT</w:t>
      </w:r>
    </w:p>
    <w:p>
      <w:pPr>
        <w:spacing w:after="120"/>
      </w:pPr>
      <w:r>
        <w:rPr>
          <w:rFonts w:ascii="Calibri" w:hAnsi="Calibri"/>
          <w:b/>
          <w:color w:val="12304A"/>
          <w:sz w:val="50"/>
        </w:rPr>
        <w:t>CRM, Sales, Contract and Project Handover Workflow</w:t>
      </w:r>
    </w:p>
    <w:p>
      <w:pPr>
        <w:spacing w:after="320"/>
      </w:pPr>
      <w:r>
        <w:rPr>
          <w:rFonts w:ascii="Calibri" w:hAnsi="Calibri"/>
          <w:color w:val="667085"/>
          <w:sz w:val="26"/>
        </w:rPr>
        <w:t>Consolidated requirements for service-based opportunity management</w:t>
      </w:r>
    </w:p>
    <w:p>
      <w:pPr>
        <w:spacing w:after="40"/>
      </w:pPr>
      <w:r>
        <w:rPr>
          <w:rFonts w:ascii="Calibri" w:hAnsi="Calibri"/>
          <w:b/>
          <w:color w:val="12304A"/>
        </w:rPr>
        <w:t xml:space="preserve">Organization: </w:t>
      </w:r>
      <w:r>
        <w:t>PETRORAQ / Consulting Operations</w:t>
      </w:r>
    </w:p>
    <w:p>
      <w:pPr>
        <w:spacing w:after="40"/>
      </w:pPr>
      <w:r>
        <w:rPr>
          <w:rFonts w:ascii="Calibri" w:hAnsi="Calibri"/>
          <w:b/>
          <w:color w:val="12304A"/>
        </w:rPr>
        <w:t xml:space="preserve">Document purpose: </w:t>
      </w:r>
      <w:r>
        <w:t>Define the target CRM and commercial workflow for Odoo implementation</w:t>
      </w:r>
    </w:p>
    <w:p>
      <w:pPr>
        <w:spacing w:after="40"/>
      </w:pPr>
      <w:r>
        <w:rPr>
          <w:rFonts w:ascii="Calibri" w:hAnsi="Calibri"/>
          <w:b/>
          <w:color w:val="12304A"/>
        </w:rPr>
        <w:t xml:space="preserve">Audience: </w:t>
      </w:r>
      <w:r>
        <w:t>Management, Business Development, Sales, Technical Departments and Implementation Team</w:t>
      </w:r>
    </w:p>
    <w:p>
      <w:pPr>
        <w:spacing w:after="40"/>
      </w:pPr>
      <w:r>
        <w:rPr>
          <w:rFonts w:ascii="Calibri" w:hAnsi="Calibri"/>
          <w:b/>
          <w:color w:val="12304A"/>
        </w:rPr>
        <w:t xml:space="preserve">Status: </w:t>
      </w:r>
      <w:r>
        <w:t>Consolidated discovery draft</w:t>
      </w:r>
    </w:p>
    <w:p>
      <w:pPr>
        <w:spacing w:after="40"/>
      </w:pPr>
      <w:r>
        <w:rPr>
          <w:rFonts w:ascii="Calibri" w:hAnsi="Calibri"/>
          <w:b/>
          <w:color w:val="12304A"/>
        </w:rPr>
        <w:t xml:space="preserve">Date: </w:t>
      </w:r>
      <w:r>
        <w:t>30 August 2026</w:t>
      </w:r>
    </w:p>
    <w:p>
      <w:pPr>
        <w:spacing w:before="240" w:after="160"/>
        <w:pBdr>
          <w:bottom w:val="single" w:sz="18" w:space="1" w:color="D99A22"/>
        </w:pBdr>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2304A"/>
              </w:rPr>
              <w:t xml:space="preserve">Executive intent: </w:t>
            </w:r>
            <w:r>
              <w:rPr>
                <w:rFonts w:ascii="Calibri" w:hAnsi="Calibri"/>
                <w:color w:val="12304A"/>
              </w:rPr>
              <w:t>Create one controlled flow from initial lead capture through qualification, pricing, quotation, contract execution, project kickoff and ongoing client feedback, while keeping service-specific data and approvals visible in one system.</w:t>
            </w:r>
          </w:p>
        </w:tc>
      </w:tr>
    </w:tbl>
    <w:p>
      <w:pPr>
        <w:spacing w:after="40"/>
      </w:pPr>
    </w:p>
    <w:p>
      <w:pPr>
        <w:pStyle w:val="Heading1"/>
      </w:pPr>
      <w:r>
        <w:t>1. Executive Summary</w:t>
      </w:r>
    </w:p>
    <w:p>
      <w:r>
        <w:t>The organization provides professional consulting services through multiple departments. Each service has different project inputs, pricing methods, staffing models and risks, but all opportunities should follow a shared commercial lifecycle. The CRM must therefore use one consistent pipeline while dynamically changing the required project information according to the selected department and service.</w:t>
      </w:r>
    </w:p>
    <w:p>
      <w:r>
        <w:t>The target solution should capture leads from all channels, preserve email communication in the related record, support structured qualification and risk review, maintain confidential financial estimation, manage quotation revisions, coordinate contract drafting and signatures, and hand won work to delivery teams with clear ownership.</w:t>
      </w:r>
    </w:p>
    <w:p>
      <w:pPr>
        <w:pStyle w:val="Heading1"/>
      </w:pPr>
      <w:r>
        <w:t>2. Business Context and Service Portfolio</w:t>
      </w:r>
    </w:p>
    <w:p>
      <w:pPr>
        <w:pStyle w:val="Heading2"/>
      </w:pPr>
      <w:r>
        <w:t>2.1 Design Department</w:t>
      </w:r>
    </w:p>
    <w:p>
      <w:r>
        <w:t>The Design Department provides architecture and engineering design as one main service delivered through multiple phases, disciplines and outputs. A quotation may show only the total design fee or provide a detailed breakdown by phase, discipline, party or deliverable.</w:t>
      </w:r>
    </w:p>
    <w:p>
      <w:pPr>
        <w:pStyle w:val="ListBullet"/>
      </w:pPr>
      <w:r>
        <w:t>Typical inputs include land area, built-up area, number of floors, project type, location, required phases and disciplines.</w:t>
      </w:r>
    </w:p>
    <w:p>
      <w:pPr>
        <w:pStyle w:val="ListBullet"/>
      </w:pPr>
      <w:r>
        <w:t>Projects may require external permit providers, specialist consultants, local architects or other subject-matter experts.</w:t>
      </w:r>
    </w:p>
    <w:p>
      <w:pPr>
        <w:pStyle w:val="ListBullet"/>
      </w:pPr>
      <w:r>
        <w:t>The scope may be reduced during negotiation; therefore, the service breakdown must be clear and editable before confirmation.</w:t>
      </w:r>
    </w:p>
    <w:p>
      <w:pPr>
        <w:pStyle w:val="Heading2"/>
      </w:pPr>
      <w:r>
        <w:t>2.2 Project Support Department</w:t>
      </w:r>
    </w:p>
    <w:p>
      <w:r>
        <w:t>Project Support is a delivery department that supports clients and technical departments through project management, construction management and site supervision services.</w:t>
      </w:r>
    </w:p>
    <w:p>
      <w:pPr>
        <w:pStyle w:val="ListBullet"/>
      </w:pPr>
      <w:r>
        <w:t>Project management: act as the client representative and manage contracts, contractors, schedules, deliverables, payment progress, coordination, reporting and performance.</w:t>
      </w:r>
    </w:p>
    <w:p>
      <w:pPr>
        <w:pStyle w:val="ListBullet"/>
      </w:pPr>
      <w:r>
        <w:t>Construction management: coordinate construction activities and commercial progress across the project lifecycle.</w:t>
      </w:r>
    </w:p>
    <w:p>
      <w:pPr>
        <w:pStyle w:val="ListBullet"/>
      </w:pPr>
      <w:r>
        <w:t>Site supervision: assign qualified supervisors to review contractor work, issue reports, monitor quality and progress, and approve defined construction steps.</w:t>
      </w:r>
    </w:p>
    <w:p>
      <w:pPr>
        <w:pStyle w:val="Heading2"/>
      </w:pPr>
      <w:r>
        <w:t>2.3 Urban Codes Unit</w:t>
      </w:r>
    </w:p>
    <w:p>
      <w:r>
        <w:t>The Urban Codes Unit provides specialized services related to Saudi architecture, urban guidelines, urban codes and regulatory consultation. Engagements may be short assignments or multi-year contracts, including the establishment and operation of design studios for public or royal commission entities.</w:t>
      </w:r>
    </w:p>
    <w:p>
      <w:pPr>
        <w:pStyle w:val="ListBullet"/>
      </w:pPr>
      <w:r>
        <w:t>Dedicated manpower may operate within client studios or project locations.</w:t>
      </w:r>
    </w:p>
    <w:p>
      <w:pPr>
        <w:pStyle w:val="ListBullet"/>
      </w:pPr>
      <w:r>
        <w:t>A centralized technical support unit may support several studios.</w:t>
      </w:r>
    </w:p>
    <w:p>
      <w:pPr>
        <w:pStyle w:val="ListBullet"/>
      </w:pPr>
      <w:r>
        <w:t>Services may include advisory contracts, consultation assignments and specialist local expertise.</w:t>
      </w:r>
    </w:p>
    <w:p>
      <w:pPr>
        <w:pStyle w:val="Heading1"/>
      </w:pPr>
      <w:r>
        <w:t>3. Commercial and Staffing Models</w:t>
      </w:r>
    </w:p>
    <w:tbl>
      <w:tblPr>
        <w:tblStyle w:val="TableGrid"/>
        <w:tblW w:type="dxa" w:w="9360"/>
        <w:tblLayout w:type="fixed"/>
        <w:tblLook w:firstColumn="1" w:firstRow="1" w:lastColumn="0" w:lastRow="0" w:noHBand="0" w:noVBand="1" w:val="04A0"/>
        <w:tblInd w:w="120" w:type="dxa"/>
      </w:tblPr>
      <w:tblGrid>
        <w:gridCol w:w="1700"/>
        <w:gridCol w:w="4300"/>
        <w:gridCol w:w="3360"/>
      </w:tblGrid>
      <w:tr>
        <w:trPr>
          <w:tblHeader w:val="true"/>
        </w:trPr>
        <w:tc>
          <w:tcPr>
            <w:tcW w:type="dxa" w:w="1700"/>
            <w:tcMar>
              <w:top w:w="80" w:type="dxa"/>
              <w:start w:w="120" w:type="dxa"/>
              <w:bottom w:w="80" w:type="dxa"/>
              <w:end w:w="120" w:type="dxa"/>
            </w:tcMar>
            <w:vAlign w:val="center"/>
            <w:shd w:fill="12304A"/>
          </w:tcPr>
          <w:p>
            <w:pPr>
              <w:jc w:val="center"/>
            </w:pPr>
            <w:r>
              <w:rPr>
                <w:rFonts w:ascii="Calibri" w:hAnsi="Calibri"/>
                <w:b/>
                <w:color w:val="FFFFFF"/>
                <w:sz w:val="19"/>
              </w:rPr>
              <w:t>Model</w:t>
            </w:r>
          </w:p>
        </w:tc>
        <w:tc>
          <w:tcPr>
            <w:tcW w:type="dxa" w:w="4300"/>
            <w:tcMar>
              <w:top w:w="80" w:type="dxa"/>
              <w:start w:w="120" w:type="dxa"/>
              <w:bottom w:w="80" w:type="dxa"/>
              <w:end w:w="120" w:type="dxa"/>
            </w:tcMar>
            <w:vAlign w:val="center"/>
            <w:shd w:fill="12304A"/>
          </w:tcPr>
          <w:p>
            <w:pPr>
              <w:jc w:val="center"/>
            </w:pPr>
            <w:r>
              <w:rPr>
                <w:rFonts w:ascii="Calibri" w:hAnsi="Calibri"/>
                <w:b/>
                <w:color w:val="FFFFFF"/>
                <w:sz w:val="19"/>
              </w:rPr>
              <w:t>How it works</w:t>
            </w:r>
          </w:p>
        </w:tc>
        <w:tc>
          <w:tcPr>
            <w:tcW w:type="dxa" w:w="3360"/>
            <w:tcMar>
              <w:top w:w="80" w:type="dxa"/>
              <w:start w:w="120" w:type="dxa"/>
              <w:bottom w:w="80" w:type="dxa"/>
              <w:end w:w="120" w:type="dxa"/>
            </w:tcMar>
            <w:vAlign w:val="center"/>
            <w:shd w:fill="12304A"/>
          </w:tcPr>
          <w:p>
            <w:pPr>
              <w:jc w:val="center"/>
            </w:pPr>
            <w:r>
              <w:rPr>
                <w:rFonts w:ascii="Calibri" w:hAnsi="Calibri"/>
                <w:b/>
                <w:color w:val="FFFFFF"/>
                <w:sz w:val="19"/>
              </w:rPr>
              <w:t>Key system data</w:t>
            </w:r>
          </w:p>
        </w:tc>
      </w:tr>
      <w:tr>
        <w:tc>
          <w:tcPr>
            <w:tcW w:type="dxa" w:w="1700"/>
            <w:tcMar>
              <w:top w:w="80" w:type="dxa"/>
              <w:start w:w="120" w:type="dxa"/>
              <w:bottom w:w="80" w:type="dxa"/>
              <w:end w:w="120" w:type="dxa"/>
            </w:tcMar>
            <w:vAlign w:val="center"/>
          </w:tcPr>
          <w:p>
            <w:pPr>
              <w:spacing w:after="0"/>
            </w:pPr>
            <w:r>
              <w:rPr>
                <w:rFonts w:ascii="Calibri" w:hAnsi="Calibri"/>
                <w:sz w:val="19"/>
              </w:rPr>
              <w:t>Manpower / cost-plus</w:t>
            </w:r>
          </w:p>
        </w:tc>
        <w:tc>
          <w:tcPr>
            <w:tcW w:type="dxa" w:w="4300"/>
            <w:tcMar>
              <w:top w:w="80" w:type="dxa"/>
              <w:start w:w="120" w:type="dxa"/>
              <w:bottom w:w="80" w:type="dxa"/>
              <w:end w:w="120" w:type="dxa"/>
            </w:tcMar>
            <w:vAlign w:val="center"/>
          </w:tcPr>
          <w:p>
            <w:pPr>
              <w:spacing w:after="0"/>
            </w:pPr>
            <w:r>
              <w:rPr>
                <w:rFonts w:ascii="Calibri" w:hAnsi="Calibri"/>
                <w:sz w:val="19"/>
              </w:rPr>
              <w:t>Price depends on duration, assigned resources, role rates and required effort.</w:t>
            </w:r>
          </w:p>
        </w:tc>
        <w:tc>
          <w:tcPr>
            <w:tcW w:type="dxa" w:w="3360"/>
            <w:tcMar>
              <w:top w:w="80" w:type="dxa"/>
              <w:start w:w="120" w:type="dxa"/>
              <w:bottom w:w="80" w:type="dxa"/>
              <w:end w:w="120" w:type="dxa"/>
            </w:tcMar>
            <w:vAlign w:val="center"/>
          </w:tcPr>
          <w:p>
            <w:pPr>
              <w:spacing w:after="0"/>
            </w:pPr>
            <w:r>
              <w:rPr>
                <w:rFonts w:ascii="Calibri" w:hAnsi="Calibri"/>
                <w:sz w:val="19"/>
              </w:rPr>
              <w:t>Duration, manpower schedule, role, rate, allocation and extra-month terms</w:t>
            </w:r>
          </w:p>
        </w:tc>
      </w:tr>
      <w:tr>
        <w:tc>
          <w:tcPr>
            <w:tcW w:type="dxa" w:w="1700"/>
            <w:shd w:fill="F2F4F7"/>
            <w:tcMar>
              <w:top w:w="80" w:type="dxa"/>
              <w:start w:w="120" w:type="dxa"/>
              <w:bottom w:w="80" w:type="dxa"/>
              <w:end w:w="120" w:type="dxa"/>
            </w:tcMar>
            <w:vAlign w:val="center"/>
          </w:tcPr>
          <w:p>
            <w:pPr>
              <w:spacing w:after="0"/>
            </w:pPr>
            <w:r>
              <w:rPr>
                <w:rFonts w:ascii="Calibri" w:hAnsi="Calibri"/>
                <w:sz w:val="19"/>
              </w:rPr>
              <w:t>Dedicated resources</w:t>
            </w:r>
          </w:p>
        </w:tc>
        <w:tc>
          <w:tcPr>
            <w:tcW w:type="dxa" w:w="4300"/>
            <w:shd w:fill="F2F4F7"/>
            <w:tcMar>
              <w:top w:w="80" w:type="dxa"/>
              <w:start w:w="120" w:type="dxa"/>
              <w:bottom w:w="80" w:type="dxa"/>
              <w:end w:w="120" w:type="dxa"/>
            </w:tcMar>
            <w:vAlign w:val="center"/>
          </w:tcPr>
          <w:p>
            <w:pPr>
              <w:spacing w:after="0"/>
            </w:pPr>
            <w:r>
              <w:rPr>
                <w:rFonts w:ascii="Calibri" w:hAnsi="Calibri"/>
                <w:sz w:val="19"/>
              </w:rPr>
              <w:t>Resources work full time on one project or site.</w:t>
            </w:r>
          </w:p>
        </w:tc>
        <w:tc>
          <w:tcPr>
            <w:tcW w:type="dxa" w:w="3360"/>
            <w:shd w:fill="F2F4F7"/>
            <w:tcMar>
              <w:top w:w="80" w:type="dxa"/>
              <w:start w:w="120" w:type="dxa"/>
              <w:bottom w:w="80" w:type="dxa"/>
              <w:end w:w="120" w:type="dxa"/>
            </w:tcMar>
            <w:vAlign w:val="center"/>
          </w:tcPr>
          <w:p>
            <w:pPr>
              <w:spacing w:after="0"/>
            </w:pPr>
            <w:r>
              <w:rPr>
                <w:rFonts w:ascii="Calibri" w:hAnsi="Calibri"/>
                <w:sz w:val="19"/>
              </w:rPr>
              <w:t>Named/role-based assignment, start date, end date and utilization</w:t>
            </w:r>
          </w:p>
        </w:tc>
      </w:tr>
      <w:tr>
        <w:tc>
          <w:tcPr>
            <w:tcW w:type="dxa" w:w="1700"/>
            <w:tcMar>
              <w:top w:w="80" w:type="dxa"/>
              <w:start w:w="120" w:type="dxa"/>
              <w:bottom w:w="80" w:type="dxa"/>
              <w:end w:w="120" w:type="dxa"/>
            </w:tcMar>
            <w:vAlign w:val="center"/>
          </w:tcPr>
          <w:p>
            <w:pPr>
              <w:spacing w:after="0"/>
            </w:pPr>
            <w:r>
              <w:rPr>
                <w:rFonts w:ascii="Calibri" w:hAnsi="Calibri"/>
                <w:sz w:val="19"/>
              </w:rPr>
              <w:t>Shared resources</w:t>
            </w:r>
          </w:p>
        </w:tc>
        <w:tc>
          <w:tcPr>
            <w:tcW w:type="dxa" w:w="4300"/>
            <w:tcMar>
              <w:top w:w="80" w:type="dxa"/>
              <w:start w:w="120" w:type="dxa"/>
              <w:bottom w:w="80" w:type="dxa"/>
              <w:end w:w="120" w:type="dxa"/>
            </w:tcMar>
            <w:vAlign w:val="center"/>
          </w:tcPr>
          <w:p>
            <w:pPr>
              <w:spacing w:after="0"/>
            </w:pPr>
            <w:r>
              <w:rPr>
                <w:rFonts w:ascii="Calibri" w:hAnsi="Calibri"/>
                <w:sz w:val="19"/>
              </w:rPr>
              <w:t>The same resource may support two or more projects, reducing client cost and improving utilization.</w:t>
            </w:r>
          </w:p>
        </w:tc>
        <w:tc>
          <w:tcPr>
            <w:tcW w:type="dxa" w:w="3360"/>
            <w:tcMar>
              <w:top w:w="80" w:type="dxa"/>
              <w:start w:w="120" w:type="dxa"/>
              <w:bottom w:w="80" w:type="dxa"/>
              <w:end w:w="120" w:type="dxa"/>
            </w:tcMar>
            <w:vAlign w:val="center"/>
          </w:tcPr>
          <w:p>
            <w:pPr>
              <w:spacing w:after="0"/>
            </w:pPr>
            <w:r>
              <w:rPr>
                <w:rFonts w:ascii="Calibri" w:hAnsi="Calibri"/>
                <w:sz w:val="19"/>
              </w:rPr>
              <w:t>Allocation percentage, schedule and project distribution</w:t>
            </w:r>
          </w:p>
        </w:tc>
      </w:tr>
      <w:tr>
        <w:tc>
          <w:tcPr>
            <w:tcW w:type="dxa" w:w="1700"/>
            <w:shd w:fill="F2F4F7"/>
            <w:tcMar>
              <w:top w:w="80" w:type="dxa"/>
              <w:start w:w="120" w:type="dxa"/>
              <w:bottom w:w="80" w:type="dxa"/>
              <w:end w:w="120" w:type="dxa"/>
            </w:tcMar>
            <w:vAlign w:val="center"/>
          </w:tcPr>
          <w:p>
            <w:pPr>
              <w:spacing w:after="0"/>
            </w:pPr>
            <w:r>
              <w:rPr>
                <w:rFonts w:ascii="Calibri" w:hAnsi="Calibri"/>
                <w:sz w:val="19"/>
              </w:rPr>
              <w:t>Lump sum</w:t>
            </w:r>
          </w:p>
        </w:tc>
        <w:tc>
          <w:tcPr>
            <w:tcW w:type="dxa" w:w="4300"/>
            <w:shd w:fill="F2F4F7"/>
            <w:tcMar>
              <w:top w:w="80" w:type="dxa"/>
              <w:start w:w="120" w:type="dxa"/>
              <w:bottom w:w="80" w:type="dxa"/>
              <w:end w:w="120" w:type="dxa"/>
            </w:tcMar>
            <w:vAlign w:val="center"/>
          </w:tcPr>
          <w:p>
            <w:pPr>
              <w:spacing w:after="0"/>
            </w:pPr>
            <w:r>
              <w:rPr>
                <w:rFonts w:ascii="Calibri" w:hAnsi="Calibri"/>
                <w:sz w:val="19"/>
              </w:rPr>
              <w:t>A fixed total value is agreed for delivery of the defined scope.</w:t>
            </w:r>
          </w:p>
        </w:tc>
        <w:tc>
          <w:tcPr>
            <w:tcW w:type="dxa" w:w="3360"/>
            <w:shd w:fill="F2F4F7"/>
            <w:tcMar>
              <w:top w:w="80" w:type="dxa"/>
              <w:start w:w="120" w:type="dxa"/>
              <w:bottom w:w="80" w:type="dxa"/>
              <w:end w:w="120" w:type="dxa"/>
            </w:tcMar>
            <w:vAlign w:val="center"/>
          </w:tcPr>
          <w:p>
            <w:pPr>
              <w:spacing w:after="0"/>
            </w:pPr>
            <w:r>
              <w:rPr>
                <w:rFonts w:ascii="Calibri" w:hAnsi="Calibri"/>
                <w:sz w:val="19"/>
              </w:rPr>
              <w:t>Scope, milestones, assumptions, exclusions and payment schedule</w:t>
            </w:r>
          </w:p>
        </w:tc>
      </w:tr>
      <w:tr>
        <w:tc>
          <w:tcPr>
            <w:tcW w:type="dxa" w:w="1700"/>
            <w:tcMar>
              <w:top w:w="80" w:type="dxa"/>
              <w:start w:w="120" w:type="dxa"/>
              <w:bottom w:w="80" w:type="dxa"/>
              <w:end w:w="120" w:type="dxa"/>
            </w:tcMar>
            <w:vAlign w:val="center"/>
          </w:tcPr>
          <w:p>
            <w:pPr>
              <w:spacing w:after="0"/>
            </w:pPr>
            <w:r>
              <w:rPr>
                <w:rFonts w:ascii="Calibri" w:hAnsi="Calibri"/>
                <w:sz w:val="19"/>
              </w:rPr>
              <w:t>Percentage-based</w:t>
            </w:r>
          </w:p>
        </w:tc>
        <w:tc>
          <w:tcPr>
            <w:tcW w:type="dxa" w:w="4300"/>
            <w:tcMar>
              <w:top w:w="80" w:type="dxa"/>
              <w:start w:w="120" w:type="dxa"/>
              <w:bottom w:w="80" w:type="dxa"/>
              <w:end w:w="120" w:type="dxa"/>
            </w:tcMar>
            <w:vAlign w:val="center"/>
          </w:tcPr>
          <w:p>
            <w:pPr>
              <w:spacing w:after="0"/>
            </w:pPr>
            <w:r>
              <w:rPr>
                <w:rFonts w:ascii="Calibri" w:hAnsi="Calibri"/>
                <w:sz w:val="19"/>
              </w:rPr>
              <w:t>Design fees may be calculated as a percentage of estimated construction or MEP value.</w:t>
            </w:r>
          </w:p>
        </w:tc>
        <w:tc>
          <w:tcPr>
            <w:tcW w:type="dxa" w:w="3360"/>
            <w:tcMar>
              <w:top w:w="80" w:type="dxa"/>
              <w:start w:w="120" w:type="dxa"/>
              <w:bottom w:w="80" w:type="dxa"/>
              <w:end w:w="120" w:type="dxa"/>
            </w:tcMar>
            <w:vAlign w:val="center"/>
          </w:tcPr>
          <w:p>
            <w:pPr>
              <w:spacing w:after="0"/>
            </w:pPr>
            <w:r>
              <w:rPr>
                <w:rFonts w:ascii="Calibri" w:hAnsi="Calibri"/>
                <w:sz w:val="19"/>
              </w:rPr>
              <w:t>Reference cost, percentage, factors and approval</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2304A"/>
              </w:rPr>
              <w:t xml:space="preserve">Confidentiality: </w:t>
            </w:r>
            <w:r>
              <w:rPr>
                <w:rFonts w:ascii="Calibri" w:hAnsi="Calibri"/>
                <w:color w:val="12304A"/>
              </w:rPr>
              <w:t>Internal calculation sheets and pricing logic are not customer-facing. The system must separate internal estimation from the quotation shared with the customer.</w:t>
            </w:r>
          </w:p>
        </w:tc>
      </w:tr>
    </w:tbl>
    <w:p>
      <w:pPr>
        <w:spacing w:after="40"/>
      </w:pPr>
    </w:p>
    <w:p>
      <w:pPr>
        <w:pStyle w:val="Heading1"/>
      </w:pPr>
      <w:r>
        <w:t>4. CRM Objectives</w:t>
      </w:r>
    </w:p>
    <w:p>
      <w:pPr>
        <w:pStyle w:val="ListBullet"/>
      </w:pPr>
      <w:r>
        <w:t>Create a single source of truth for every opportunity, customer interaction and commercial document.</w:t>
      </w:r>
    </w:p>
    <w:p>
      <w:pPr>
        <w:pStyle w:val="ListBullet"/>
      </w:pPr>
      <w:r>
        <w:t>Allow a lead to be created even when only limited information is available.</w:t>
      </w:r>
    </w:p>
    <w:p>
      <w:pPr>
        <w:pStyle w:val="ListBullet"/>
      </w:pPr>
      <w:r>
        <w:t>Enforce required information at the correct stage gate rather than blocking initial capture.</w:t>
      </w:r>
    </w:p>
    <w:p>
      <w:pPr>
        <w:pStyle w:val="ListBullet"/>
      </w:pPr>
      <w:r>
        <w:t>Show different project fields and mandatory rules based on the selected department and service.</w:t>
      </w:r>
    </w:p>
    <w:p>
      <w:pPr>
        <w:pStyle w:val="ListBullet"/>
      </w:pPr>
      <w:r>
        <w:t>Support structured risk review, go/no-go evaluation and future scoring criteria.</w:t>
      </w:r>
    </w:p>
    <w:p>
      <w:pPr>
        <w:pStyle w:val="ListBullet"/>
      </w:pPr>
      <w:r>
        <w:t>Connect CRM, quotation, contract, payment and project handover activities without duplicate records.</w:t>
      </w:r>
    </w:p>
    <w:p>
      <w:pPr>
        <w:pStyle w:val="Heading1"/>
      </w:pPr>
      <w:r>
        <w:t>5. Lead Sources, Capture and Communication</w:t>
      </w:r>
    </w:p>
    <w:p>
      <w:pPr>
        <w:pStyle w:val="Heading2"/>
      </w:pPr>
      <w:r>
        <w:t>5.1 Lead Sources</w:t>
      </w:r>
    </w:p>
    <w:p>
      <w:pPr>
        <w:pStyle w:val="ListBullet"/>
      </w:pPr>
      <w:r>
        <w:t>Word of mouth, founders' market relationships and referrals from existing clients.</w:t>
      </w:r>
    </w:p>
    <w:p>
      <w:pPr>
        <w:pStyle w:val="ListBullet"/>
      </w:pPr>
      <w:r>
        <w:t>Direct email, telephone, WhatsApp and website enquiries.</w:t>
      </w:r>
    </w:p>
    <w:p>
      <w:pPr>
        <w:pStyle w:val="ListBullet"/>
      </w:pPr>
      <w:r>
        <w:t>Invitations received through government, client, tender and sourcing platforms.</w:t>
      </w:r>
    </w:p>
    <w:p>
      <w:r>
        <w:t>The current sales and business development team is small, with approximately three people covering sales, CRM follow-up and commercial coordination. The workflow should reduce manual administration and make follow-up visible.</w:t>
      </w:r>
    </w:p>
    <w:p>
      <w:pPr>
        <w:pStyle w:val="Heading2"/>
      </w:pPr>
      <w:r>
        <w:t>5.2 Email and Chatter Requirements</w:t>
      </w:r>
    </w:p>
    <w:p>
      <w:pPr>
        <w:pStyle w:val="ListBullet"/>
      </w:pPr>
      <w:r>
        <w:t>Inbound emails may create or update CRM opportunities when configured.</w:t>
      </w:r>
    </w:p>
    <w:p>
      <w:pPr>
        <w:pStyle w:val="ListBullet"/>
      </w:pPr>
      <w:r>
        <w:t>Quotations and attachments can be sent directly from the system with CC recipients.</w:t>
      </w:r>
    </w:p>
    <w:p>
      <w:pPr>
        <w:pStyle w:val="ListBullet"/>
      </w:pPr>
      <w:r>
        <w:t>Customer replies must appear in the chatter of the same opportunity or quotation.</w:t>
      </w:r>
    </w:p>
    <w:p>
      <w:pPr>
        <w:pStyle w:val="ListBullet"/>
      </w:pPr>
      <w:r>
        <w:t>Users may add followers and mention internal users for action or review.</w:t>
      </w:r>
    </w:p>
    <w:p>
      <w:pPr>
        <w:pStyle w:val="ListBullet"/>
      </w:pPr>
      <w:r>
        <w:t>The conversation remains available in both the user's email and the related system record.</w:t>
      </w:r>
    </w:p>
    <w:p>
      <w:pPr>
        <w:pStyle w:val="Heading1"/>
      </w:pPr>
      <w:r>
        <w:t>6. Opportunity Structure and Dynamic Information</w:t>
      </w:r>
    </w:p>
    <w:p>
      <w:pPr>
        <w:pStyle w:val="Heading2"/>
      </w:pPr>
      <w:r>
        <w:t>6.1 Core Opportunity Fields</w:t>
      </w:r>
    </w:p>
    <w:p>
      <w:pPr>
        <w:pStyle w:val="ListBullet"/>
      </w:pPr>
      <w:r>
        <w:t>Opportunity name, customer, contact, email, telephone and source.</w:t>
      </w:r>
    </w:p>
    <w:p>
      <w:pPr>
        <w:pStyle w:val="ListBullet"/>
      </w:pPr>
      <w:r>
        <w:t>Salesperson, expected revenue, probability, expected closing date and classification tags.</w:t>
      </w:r>
    </w:p>
    <w:p>
      <w:pPr>
        <w:pStyle w:val="ListBullet"/>
      </w:pPr>
      <w:r>
        <w:t>Main department/service selector and multi-select main services.</w:t>
      </w:r>
    </w:p>
    <w:p>
      <w:pPr>
        <w:pStyle w:val="ListBullet"/>
      </w:pPr>
      <w:r>
        <w:t>Referral or recommendation source, client classification and client type.</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2304A"/>
              </w:rPr>
              <w:t xml:space="preserve">Important distinction: </w:t>
            </w:r>
            <w:r>
              <w:rPr>
                <w:rFonts w:ascii="Calibri" w:hAnsi="Calibri"/>
                <w:color w:val="12304A"/>
              </w:rPr>
              <w:t>Main services and CRM tags are separate. Services define requested scope and dynamic fields; tags support classification, search and reporting.</w:t>
            </w:r>
          </w:p>
        </w:tc>
      </w:tr>
    </w:tbl>
    <w:p>
      <w:pPr>
        <w:spacing w:after="40"/>
      </w:pPr>
    </w:p>
    <w:p>
      <w:pPr>
        <w:pStyle w:val="Heading2"/>
      </w:pPr>
      <w:r>
        <w:t>6.2 Form Divisions</w:t>
      </w:r>
    </w:p>
    <w:p>
      <w:pPr>
        <w:spacing w:after="160" w:line="280" w:lineRule="auto"/>
        <w:numPr>
          <w:ilvl w:val="0"/>
          <w:numId w:val="10"/>
        </w:numPr>
      </w:pPr>
      <w:r>
        <w:t>General Information - standard customer, commercial and ownership information.</w:t>
      </w:r>
    </w:p>
    <w:p>
      <w:pPr>
        <w:spacing w:after="160" w:line="280" w:lineRule="auto"/>
        <w:numPr>
          <w:ilvl w:val="0"/>
          <w:numId w:val="10"/>
        </w:numPr>
      </w:pPr>
      <w:r>
        <w:t>Project Information - department-specific scope, location, scale and delivery inputs.</w:t>
      </w:r>
    </w:p>
    <w:p>
      <w:pPr>
        <w:spacing w:after="160" w:line="280" w:lineRule="auto"/>
        <w:numPr>
          <w:ilvl w:val="0"/>
          <w:numId w:val="10"/>
        </w:numPr>
      </w:pPr>
      <w:r>
        <w:t>Risks - structured risk items with references and evidence.</w:t>
      </w:r>
    </w:p>
    <w:p>
      <w:pPr>
        <w:spacing w:after="160" w:line="280" w:lineRule="auto"/>
        <w:numPr>
          <w:ilvl w:val="0"/>
          <w:numId w:val="10"/>
        </w:numPr>
      </w:pPr>
      <w:r>
        <w:t>Notes - additional context and internal collaboration.</w:t>
      </w:r>
    </w:p>
    <w:p>
      <w:pPr>
        <w:pStyle w:val="Heading2"/>
      </w:pPr>
      <w:r>
        <w:t>6.3 Dynamic Project Information</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center"/>
            <w:shd w:fill="12304A"/>
          </w:tcPr>
          <w:p>
            <w:pPr>
              <w:jc w:val="center"/>
            </w:pPr>
            <w:r>
              <w:rPr>
                <w:rFonts w:ascii="Calibri" w:hAnsi="Calibri"/>
                <w:b/>
                <w:color w:val="FFFFFF"/>
                <w:sz w:val="19"/>
              </w:rPr>
              <w:t>Department</w:t>
            </w:r>
          </w:p>
        </w:tc>
        <w:tc>
          <w:tcPr>
            <w:tcW w:type="dxa" w:w="7160"/>
            <w:tcMar>
              <w:top w:w="80" w:type="dxa"/>
              <w:start w:w="120" w:type="dxa"/>
              <w:bottom w:w="80" w:type="dxa"/>
              <w:end w:w="120" w:type="dxa"/>
            </w:tcMar>
            <w:vAlign w:val="center"/>
            <w:shd w:fill="12304A"/>
          </w:tcPr>
          <w:p>
            <w:pPr>
              <w:jc w:val="center"/>
            </w:pPr>
            <w:r>
              <w:rPr>
                <w:rFonts w:ascii="Calibri" w:hAnsi="Calibri"/>
                <w:b/>
                <w:color w:val="FFFFFF"/>
                <w:sz w:val="19"/>
              </w:rPr>
              <w:t>Illustrative required information</w:t>
            </w:r>
          </w:p>
        </w:tc>
      </w:tr>
      <w:tr>
        <w:tc>
          <w:tcPr>
            <w:tcW w:type="dxa" w:w="2200"/>
            <w:tcMar>
              <w:top w:w="80" w:type="dxa"/>
              <w:start w:w="120" w:type="dxa"/>
              <w:bottom w:w="80" w:type="dxa"/>
              <w:end w:w="120" w:type="dxa"/>
            </w:tcMar>
            <w:vAlign w:val="center"/>
          </w:tcPr>
          <w:p>
            <w:pPr>
              <w:spacing w:after="0"/>
            </w:pPr>
            <w:r>
              <w:rPr>
                <w:rFonts w:ascii="Calibri" w:hAnsi="Calibri"/>
                <w:sz w:val="19"/>
              </w:rPr>
              <w:t>Design</w:t>
            </w:r>
          </w:p>
        </w:tc>
        <w:tc>
          <w:tcPr>
            <w:tcW w:type="dxa" w:w="7160"/>
            <w:tcMar>
              <w:top w:w="80" w:type="dxa"/>
              <w:start w:w="120" w:type="dxa"/>
              <w:bottom w:w="80" w:type="dxa"/>
              <w:end w:w="120" w:type="dxa"/>
            </w:tcMar>
            <w:vAlign w:val="center"/>
          </w:tcPr>
          <w:p>
            <w:pPr>
              <w:spacing w:after="0"/>
            </w:pPr>
            <w:r>
              <w:rPr>
                <w:rFonts w:ascii="Calibri" w:hAnsi="Calibri"/>
                <w:sz w:val="19"/>
              </w:rPr>
              <w:t>Land area, built-up area, floors, project type/value, map location, phases, disciplines, assets, modules, deliverables and unusual client requirements.</w:t>
            </w:r>
          </w:p>
        </w:tc>
      </w:tr>
      <w:tr>
        <w:tc>
          <w:tcPr>
            <w:tcW w:type="dxa" w:w="2200"/>
            <w:shd w:fill="F2F4F7"/>
            <w:tcMar>
              <w:top w:w="80" w:type="dxa"/>
              <w:start w:w="120" w:type="dxa"/>
              <w:bottom w:w="80" w:type="dxa"/>
              <w:end w:w="120" w:type="dxa"/>
            </w:tcMar>
            <w:vAlign w:val="center"/>
          </w:tcPr>
          <w:p>
            <w:pPr>
              <w:spacing w:after="0"/>
            </w:pPr>
            <w:r>
              <w:rPr>
                <w:rFonts w:ascii="Calibri" w:hAnsi="Calibri"/>
                <w:sz w:val="19"/>
              </w:rPr>
              <w:t>Project Support</w:t>
            </w:r>
          </w:p>
        </w:tc>
        <w:tc>
          <w:tcPr>
            <w:tcW w:type="dxa" w:w="7160"/>
            <w:shd w:fill="F2F4F7"/>
            <w:tcMar>
              <w:top w:w="80" w:type="dxa"/>
              <w:start w:w="120" w:type="dxa"/>
              <w:bottom w:w="80" w:type="dxa"/>
              <w:end w:w="120" w:type="dxa"/>
            </w:tcMar>
            <w:vAlign w:val="center"/>
          </w:tcPr>
          <w:p>
            <w:pPr>
              <w:spacing w:after="0"/>
            </w:pPr>
            <w:r>
              <w:rPr>
                <w:rFonts w:ascii="Calibri" w:hAnsi="Calibri"/>
                <w:sz w:val="19"/>
              </w:rPr>
              <w:t>Project duration, lifecycle, contract model, manpower, roles, dedication level, site, contractor, reporting, payment progress and supervision requirements.</w:t>
            </w:r>
          </w:p>
        </w:tc>
      </w:tr>
      <w:tr>
        <w:tc>
          <w:tcPr>
            <w:tcW w:type="dxa" w:w="2200"/>
            <w:tcMar>
              <w:top w:w="80" w:type="dxa"/>
              <w:start w:w="120" w:type="dxa"/>
              <w:bottom w:w="80" w:type="dxa"/>
              <w:end w:w="120" w:type="dxa"/>
            </w:tcMar>
            <w:vAlign w:val="center"/>
          </w:tcPr>
          <w:p>
            <w:pPr>
              <w:spacing w:after="0"/>
            </w:pPr>
            <w:r>
              <w:rPr>
                <w:rFonts w:ascii="Calibri" w:hAnsi="Calibri"/>
                <w:sz w:val="19"/>
              </w:rPr>
              <w:t>Urban Codes</w:t>
            </w:r>
          </w:p>
        </w:tc>
        <w:tc>
          <w:tcPr>
            <w:tcW w:type="dxa" w:w="7160"/>
            <w:tcMar>
              <w:top w:w="80" w:type="dxa"/>
              <w:start w:w="120" w:type="dxa"/>
              <w:bottom w:w="80" w:type="dxa"/>
              <w:end w:w="120" w:type="dxa"/>
            </w:tcMar>
            <w:vAlign w:val="center"/>
          </w:tcPr>
          <w:p>
            <w:pPr>
              <w:spacing w:after="0"/>
            </w:pPr>
            <w:r>
              <w:rPr>
                <w:rFonts w:ascii="Calibri" w:hAnsi="Calibri"/>
                <w:sz w:val="19"/>
              </w:rPr>
              <w:t>Contract duration, studio/entity, required experts, Saudi identity or code scope, operating model, manpower and centralized support needs.</w:t>
            </w:r>
          </w:p>
        </w:tc>
      </w:tr>
    </w:tbl>
    <w:p>
      <w:pPr>
        <w:spacing w:after="40"/>
      </w:pPr>
    </w:p>
    <w:p>
      <w:r>
        <w:t>The exact field list, data type and mandatory stage will be confirmed through a client-provided Excel field matrix. Mandatory rules may differ by department and service.</w:t>
      </w:r>
    </w:p>
    <w:p>
      <w:pPr>
        <w:pStyle w:val="Heading2"/>
      </w:pPr>
      <w:r>
        <w:t>6.4 Risk Register</w:t>
      </w:r>
    </w:p>
    <w:p>
      <w:r>
        <w:t>Each opportunity should support multiple risk entries. The risk record should contain:</w:t>
      </w:r>
    </w:p>
    <w:p>
      <w:pPr>
        <w:pStyle w:val="ListBullet"/>
      </w:pPr>
      <w:r>
        <w:t>Risk number and description.</w:t>
      </w:r>
    </w:p>
    <w:p>
      <w:pPr>
        <w:pStyle w:val="ListBullet"/>
      </w:pPr>
      <w:r>
        <w:t>Risk category and expected impact.</w:t>
      </w:r>
    </w:p>
    <w:p>
      <w:pPr>
        <w:pStyle w:val="ListBullet"/>
      </w:pPr>
      <w:r>
        <w:t>Source/reference, such as email, RFP page or tender clause.</w:t>
      </w:r>
    </w:p>
    <w:p>
      <w:pPr>
        <w:pStyle w:val="ListBullet"/>
      </w:pPr>
      <w:r>
        <w:t>Supporting attachment or document.</w:t>
      </w:r>
    </w:p>
    <w:p>
      <w:pPr>
        <w:pStyle w:val="ListBullet"/>
      </w:pPr>
      <w:r>
        <w:t>Go/no-go implication, mitigation and owner.</w:t>
      </w:r>
    </w:p>
    <w:p>
      <w:pPr>
        <w:pStyle w:val="Heading1"/>
      </w:pPr>
      <w:r>
        <w:t>7. CRM Pipeline and Stage Gates</w:t>
      </w:r>
    </w:p>
    <w:tbl>
      <w:tblPr>
        <w:tblStyle w:val="TableGrid"/>
        <w:tblW w:type="dxa" w:w="9360"/>
        <w:tblLayout w:type="fixed"/>
        <w:tblLook w:firstColumn="1" w:firstRow="1" w:lastColumn="0" w:lastRow="0" w:noHBand="0" w:noVBand="1" w:val="04A0"/>
        <w:tblInd w:w="120" w:type="dxa"/>
      </w:tblPr>
      <w:tblGrid>
        <w:gridCol w:w="1450"/>
        <w:gridCol w:w="3900"/>
        <w:gridCol w:w="4010"/>
      </w:tblGrid>
      <w:tr>
        <w:trPr>
          <w:tblHeader w:val="true"/>
        </w:trPr>
        <w:tc>
          <w:tcPr>
            <w:tcW w:type="dxa" w:w="1450"/>
            <w:tcMar>
              <w:top w:w="80" w:type="dxa"/>
              <w:start w:w="120" w:type="dxa"/>
              <w:bottom w:w="80" w:type="dxa"/>
              <w:end w:w="120" w:type="dxa"/>
            </w:tcMar>
            <w:vAlign w:val="center"/>
            <w:shd w:fill="12304A"/>
          </w:tcPr>
          <w:p>
            <w:pPr>
              <w:jc w:val="center"/>
            </w:pPr>
            <w:r>
              <w:rPr>
                <w:rFonts w:ascii="Calibri" w:hAnsi="Calibri"/>
                <w:b/>
                <w:color w:val="FFFFFF"/>
                <w:sz w:val="19"/>
              </w:rPr>
              <w:t>Stage</w:t>
            </w:r>
          </w:p>
        </w:tc>
        <w:tc>
          <w:tcPr>
            <w:tcW w:type="dxa" w:w="3900"/>
            <w:tcMar>
              <w:top w:w="80" w:type="dxa"/>
              <w:start w:w="120" w:type="dxa"/>
              <w:bottom w:w="80" w:type="dxa"/>
              <w:end w:w="120" w:type="dxa"/>
            </w:tcMar>
            <w:vAlign w:val="center"/>
            <w:shd w:fill="12304A"/>
          </w:tcPr>
          <w:p>
            <w:pPr>
              <w:jc w:val="center"/>
            </w:pPr>
            <w:r>
              <w:rPr>
                <w:rFonts w:ascii="Calibri" w:hAnsi="Calibri"/>
                <w:b/>
                <w:color w:val="FFFFFF"/>
                <w:sz w:val="19"/>
              </w:rPr>
              <w:t>Purpose</w:t>
            </w:r>
          </w:p>
        </w:tc>
        <w:tc>
          <w:tcPr>
            <w:tcW w:type="dxa" w:w="4010"/>
            <w:tcMar>
              <w:top w:w="80" w:type="dxa"/>
              <w:start w:w="120" w:type="dxa"/>
              <w:bottom w:w="80" w:type="dxa"/>
              <w:end w:w="120" w:type="dxa"/>
            </w:tcMar>
            <w:vAlign w:val="center"/>
            <w:shd w:fill="12304A"/>
          </w:tcPr>
          <w:p>
            <w:pPr>
              <w:jc w:val="center"/>
            </w:pPr>
            <w:r>
              <w:rPr>
                <w:rFonts w:ascii="Calibri" w:hAnsi="Calibri"/>
                <w:b/>
                <w:color w:val="FFFFFF"/>
                <w:sz w:val="19"/>
              </w:rPr>
              <w:t>Exit requirement</w:t>
            </w:r>
          </w:p>
        </w:tc>
      </w:tr>
      <w:tr>
        <w:tc>
          <w:tcPr>
            <w:tcW w:type="dxa" w:w="1450"/>
            <w:tcMar>
              <w:top w:w="80" w:type="dxa"/>
              <w:start w:w="120" w:type="dxa"/>
              <w:bottom w:w="80" w:type="dxa"/>
              <w:end w:w="120" w:type="dxa"/>
            </w:tcMar>
            <w:vAlign w:val="center"/>
          </w:tcPr>
          <w:p>
            <w:pPr>
              <w:spacing w:after="0"/>
            </w:pPr>
            <w:r>
              <w:rPr>
                <w:rFonts w:ascii="Calibri" w:hAnsi="Calibri"/>
                <w:sz w:val="19"/>
              </w:rPr>
              <w:t>New</w:t>
            </w:r>
          </w:p>
        </w:tc>
        <w:tc>
          <w:tcPr>
            <w:tcW w:type="dxa" w:w="3900"/>
            <w:tcMar>
              <w:top w:w="80" w:type="dxa"/>
              <w:start w:w="120" w:type="dxa"/>
              <w:bottom w:w="80" w:type="dxa"/>
              <w:end w:w="120" w:type="dxa"/>
            </w:tcMar>
            <w:vAlign w:val="center"/>
          </w:tcPr>
          <w:p>
            <w:pPr>
              <w:spacing w:after="0"/>
            </w:pPr>
            <w:r>
              <w:rPr>
                <w:rFonts w:ascii="Calibri" w:hAnsi="Calibri"/>
                <w:sz w:val="19"/>
              </w:rPr>
              <w:t>Capture any potential opportunity, even with incomplete information.</w:t>
            </w:r>
          </w:p>
        </w:tc>
        <w:tc>
          <w:tcPr>
            <w:tcW w:type="dxa" w:w="4010"/>
            <w:tcMar>
              <w:top w:w="80" w:type="dxa"/>
              <w:start w:w="120" w:type="dxa"/>
              <w:bottom w:w="80" w:type="dxa"/>
              <w:end w:w="120" w:type="dxa"/>
            </w:tcMar>
            <w:vAlign w:val="center"/>
          </w:tcPr>
          <w:p>
            <w:pPr>
              <w:spacing w:after="0"/>
            </w:pPr>
            <w:r>
              <w:rPr>
                <w:rFonts w:ascii="Calibri" w:hAnsi="Calibri"/>
                <w:sz w:val="19"/>
              </w:rPr>
              <w:t>Sufficient information collected to start structured qualification.</w:t>
            </w:r>
          </w:p>
        </w:tc>
      </w:tr>
      <w:tr>
        <w:tc>
          <w:tcPr>
            <w:tcW w:type="dxa" w:w="1450"/>
            <w:shd w:fill="F2F4F7"/>
            <w:tcMar>
              <w:top w:w="80" w:type="dxa"/>
              <w:start w:w="120" w:type="dxa"/>
              <w:bottom w:w="80" w:type="dxa"/>
              <w:end w:w="120" w:type="dxa"/>
            </w:tcMar>
            <w:vAlign w:val="center"/>
          </w:tcPr>
          <w:p>
            <w:pPr>
              <w:spacing w:after="0"/>
            </w:pPr>
            <w:r>
              <w:rPr>
                <w:rFonts w:ascii="Calibri" w:hAnsi="Calibri"/>
                <w:sz w:val="19"/>
              </w:rPr>
              <w:t>Qualified</w:t>
            </w:r>
          </w:p>
        </w:tc>
        <w:tc>
          <w:tcPr>
            <w:tcW w:type="dxa" w:w="3900"/>
            <w:shd w:fill="F2F4F7"/>
            <w:tcMar>
              <w:top w:w="80" w:type="dxa"/>
              <w:start w:w="120" w:type="dxa"/>
              <w:bottom w:w="80" w:type="dxa"/>
              <w:end w:w="120" w:type="dxa"/>
            </w:tcMar>
            <w:vAlign w:val="center"/>
          </w:tcPr>
          <w:p>
            <w:pPr>
              <w:spacing w:after="0"/>
            </w:pPr>
            <w:r>
              <w:rPr>
                <w:rFonts w:ascii="Calibri" w:hAnsi="Calibri"/>
                <w:sz w:val="19"/>
              </w:rPr>
              <w:t>Confirm customer need, service fit and required project details.</w:t>
            </w:r>
          </w:p>
        </w:tc>
        <w:tc>
          <w:tcPr>
            <w:tcW w:type="dxa" w:w="4010"/>
            <w:shd w:fill="F2F4F7"/>
            <w:tcMar>
              <w:top w:w="80" w:type="dxa"/>
              <w:start w:w="120" w:type="dxa"/>
              <w:bottom w:w="80" w:type="dxa"/>
              <w:end w:w="120" w:type="dxa"/>
            </w:tcMar>
            <w:vAlign w:val="center"/>
          </w:tcPr>
          <w:p>
            <w:pPr>
              <w:spacing w:after="0"/>
            </w:pPr>
            <w:r>
              <w:rPr>
                <w:rFonts w:ascii="Calibri" w:hAnsi="Calibri"/>
                <w:sz w:val="19"/>
              </w:rPr>
              <w:t>Mandatory service-specific fields completed.</w:t>
            </w:r>
          </w:p>
        </w:tc>
      </w:tr>
      <w:tr>
        <w:tc>
          <w:tcPr>
            <w:tcW w:type="dxa" w:w="1450"/>
            <w:tcMar>
              <w:top w:w="80" w:type="dxa"/>
              <w:start w:w="120" w:type="dxa"/>
              <w:bottom w:w="80" w:type="dxa"/>
              <w:end w:w="120" w:type="dxa"/>
            </w:tcMar>
            <w:vAlign w:val="center"/>
          </w:tcPr>
          <w:p>
            <w:pPr>
              <w:spacing w:after="0"/>
            </w:pPr>
            <w:r>
              <w:rPr>
                <w:rFonts w:ascii="Calibri" w:hAnsi="Calibri"/>
                <w:sz w:val="19"/>
              </w:rPr>
              <w:t>Evaluation</w:t>
            </w:r>
          </w:p>
        </w:tc>
        <w:tc>
          <w:tcPr>
            <w:tcW w:type="dxa" w:w="3900"/>
            <w:tcMar>
              <w:top w:w="80" w:type="dxa"/>
              <w:start w:w="120" w:type="dxa"/>
              <w:bottom w:w="80" w:type="dxa"/>
              <w:end w:w="120" w:type="dxa"/>
            </w:tcMar>
            <w:vAlign w:val="center"/>
          </w:tcPr>
          <w:p>
            <w:pPr>
              <w:spacing w:after="0"/>
            </w:pPr>
            <w:r>
              <w:rPr>
                <w:rFonts w:ascii="Calibri" w:hAnsi="Calibri"/>
                <w:sz w:val="19"/>
              </w:rPr>
              <w:t>Review commercial, contractual, technical, capacity and payment risks.</w:t>
            </w:r>
          </w:p>
        </w:tc>
        <w:tc>
          <w:tcPr>
            <w:tcW w:type="dxa" w:w="4010"/>
            <w:tcMar>
              <w:top w:w="80" w:type="dxa"/>
              <w:start w:w="120" w:type="dxa"/>
              <w:bottom w:w="80" w:type="dxa"/>
              <w:end w:w="120" w:type="dxa"/>
            </w:tcMar>
            <w:vAlign w:val="center"/>
          </w:tcPr>
          <w:p>
            <w:pPr>
              <w:spacing w:after="0"/>
            </w:pPr>
            <w:r>
              <w:rPr>
                <w:rFonts w:ascii="Calibri" w:hAnsi="Calibri"/>
                <w:sz w:val="19"/>
              </w:rPr>
              <w:t>Go/no-go decision or approved exceptions.</w:t>
            </w:r>
          </w:p>
        </w:tc>
      </w:tr>
      <w:tr>
        <w:tc>
          <w:tcPr>
            <w:tcW w:type="dxa" w:w="1450"/>
            <w:shd w:fill="F2F4F7"/>
            <w:tcMar>
              <w:top w:w="80" w:type="dxa"/>
              <w:start w:w="120" w:type="dxa"/>
              <w:bottom w:w="80" w:type="dxa"/>
              <w:end w:w="120" w:type="dxa"/>
            </w:tcMar>
            <w:vAlign w:val="center"/>
          </w:tcPr>
          <w:p>
            <w:pPr>
              <w:spacing w:after="0"/>
            </w:pPr>
            <w:r>
              <w:rPr>
                <w:rFonts w:ascii="Calibri" w:hAnsi="Calibri"/>
                <w:sz w:val="19"/>
              </w:rPr>
              <w:t>Financial Estimation</w:t>
            </w:r>
          </w:p>
        </w:tc>
        <w:tc>
          <w:tcPr>
            <w:tcW w:type="dxa" w:w="3900"/>
            <w:shd w:fill="F2F4F7"/>
            <w:tcMar>
              <w:top w:w="80" w:type="dxa"/>
              <w:start w:w="120" w:type="dxa"/>
              <w:bottom w:w="80" w:type="dxa"/>
              <w:end w:w="120" w:type="dxa"/>
            </w:tcMar>
            <w:vAlign w:val="center"/>
          </w:tcPr>
          <w:p>
            <w:pPr>
              <w:spacing w:after="0"/>
            </w:pPr>
            <w:r>
              <w:rPr>
                <w:rFonts w:ascii="Calibri" w:hAnsi="Calibri"/>
                <w:sz w:val="19"/>
              </w:rPr>
              <w:t>Prepare internal price using the applicable model and factors.</w:t>
            </w:r>
          </w:p>
        </w:tc>
        <w:tc>
          <w:tcPr>
            <w:tcW w:type="dxa" w:w="4010"/>
            <w:shd w:fill="F2F4F7"/>
            <w:tcMar>
              <w:top w:w="80" w:type="dxa"/>
              <w:start w:w="120" w:type="dxa"/>
              <w:bottom w:w="80" w:type="dxa"/>
              <w:end w:w="120" w:type="dxa"/>
            </w:tcMar>
            <w:vAlign w:val="center"/>
          </w:tcPr>
          <w:p>
            <w:pPr>
              <w:spacing w:after="0"/>
            </w:pPr>
            <w:r>
              <w:rPr>
                <w:rFonts w:ascii="Calibri" w:hAnsi="Calibri"/>
                <w:sz w:val="19"/>
              </w:rPr>
              <w:t>Estimate reviewed and approved for quotation.</w:t>
            </w:r>
          </w:p>
        </w:tc>
      </w:tr>
      <w:tr>
        <w:tc>
          <w:tcPr>
            <w:tcW w:type="dxa" w:w="1450"/>
            <w:tcMar>
              <w:top w:w="80" w:type="dxa"/>
              <w:start w:w="120" w:type="dxa"/>
              <w:bottom w:w="80" w:type="dxa"/>
              <w:end w:w="120" w:type="dxa"/>
            </w:tcMar>
            <w:vAlign w:val="center"/>
          </w:tcPr>
          <w:p>
            <w:pPr>
              <w:spacing w:after="0"/>
            </w:pPr>
            <w:r>
              <w:rPr>
                <w:rFonts w:ascii="Calibri" w:hAnsi="Calibri"/>
                <w:sz w:val="19"/>
              </w:rPr>
              <w:t>Proposal / Quotation</w:t>
            </w:r>
          </w:p>
        </w:tc>
        <w:tc>
          <w:tcPr>
            <w:tcW w:type="dxa" w:w="3900"/>
            <w:tcMar>
              <w:top w:w="80" w:type="dxa"/>
              <w:start w:w="120" w:type="dxa"/>
              <w:bottom w:w="80" w:type="dxa"/>
              <w:end w:w="120" w:type="dxa"/>
            </w:tcMar>
            <w:vAlign w:val="center"/>
          </w:tcPr>
          <w:p>
            <w:pPr>
              <w:spacing w:after="0"/>
            </w:pPr>
            <w:r>
              <w:rPr>
                <w:rFonts w:ascii="Calibri" w:hAnsi="Calibri"/>
                <w:sz w:val="19"/>
              </w:rPr>
              <w:t>Issue the commercial offer and scope to the client.</w:t>
            </w:r>
          </w:p>
        </w:tc>
        <w:tc>
          <w:tcPr>
            <w:tcW w:type="dxa" w:w="4010"/>
            <w:tcMar>
              <w:top w:w="80" w:type="dxa"/>
              <w:start w:w="120" w:type="dxa"/>
              <w:bottom w:w="80" w:type="dxa"/>
              <w:end w:w="120" w:type="dxa"/>
            </w:tcMar>
            <w:vAlign w:val="center"/>
          </w:tcPr>
          <w:p>
            <w:pPr>
              <w:spacing w:after="0"/>
            </w:pPr>
            <w:r>
              <w:rPr>
                <w:rFonts w:ascii="Calibri" w:hAnsi="Calibri"/>
                <w:sz w:val="19"/>
              </w:rPr>
              <w:t>Quotation delivered and tracked.</w:t>
            </w:r>
          </w:p>
        </w:tc>
      </w:tr>
      <w:tr>
        <w:tc>
          <w:tcPr>
            <w:tcW w:type="dxa" w:w="1450"/>
            <w:shd w:fill="F2F4F7"/>
            <w:tcMar>
              <w:top w:w="80" w:type="dxa"/>
              <w:start w:w="120" w:type="dxa"/>
              <w:bottom w:w="80" w:type="dxa"/>
              <w:end w:w="120" w:type="dxa"/>
            </w:tcMar>
            <w:vAlign w:val="center"/>
          </w:tcPr>
          <w:p>
            <w:pPr>
              <w:spacing w:after="0"/>
            </w:pPr>
            <w:r>
              <w:rPr>
                <w:rFonts w:ascii="Calibri" w:hAnsi="Calibri"/>
                <w:sz w:val="19"/>
              </w:rPr>
              <w:t>Negotiation</w:t>
            </w:r>
          </w:p>
        </w:tc>
        <w:tc>
          <w:tcPr>
            <w:tcW w:type="dxa" w:w="3900"/>
            <w:shd w:fill="F2F4F7"/>
            <w:tcMar>
              <w:top w:w="80" w:type="dxa"/>
              <w:start w:w="120" w:type="dxa"/>
              <w:bottom w:w="80" w:type="dxa"/>
              <w:end w:w="120" w:type="dxa"/>
            </w:tcMar>
            <w:vAlign w:val="center"/>
          </w:tcPr>
          <w:p>
            <w:pPr>
              <w:spacing w:after="0"/>
            </w:pPr>
            <w:r>
              <w:rPr>
                <w:rFonts w:ascii="Calibri" w:hAnsi="Calibri"/>
                <w:sz w:val="19"/>
              </w:rPr>
              <w:t>Manage revisions to scope, price, payment schedule and conditions.</w:t>
            </w:r>
          </w:p>
        </w:tc>
        <w:tc>
          <w:tcPr>
            <w:tcW w:type="dxa" w:w="4010"/>
            <w:shd w:fill="F2F4F7"/>
            <w:tcMar>
              <w:top w:w="80" w:type="dxa"/>
              <w:start w:w="120" w:type="dxa"/>
              <w:bottom w:w="80" w:type="dxa"/>
              <w:end w:w="120" w:type="dxa"/>
            </w:tcMar>
            <w:vAlign w:val="center"/>
          </w:tcPr>
          <w:p>
            <w:pPr>
              <w:spacing w:after="0"/>
            </w:pPr>
            <w:r>
              <w:rPr>
                <w:rFonts w:ascii="Calibri" w:hAnsi="Calibri"/>
                <w:sz w:val="19"/>
              </w:rPr>
              <w:t>Customer acceptance, loss, hold or cancellation.</w:t>
            </w:r>
          </w:p>
        </w:tc>
      </w:tr>
      <w:tr>
        <w:tc>
          <w:tcPr>
            <w:tcW w:type="dxa" w:w="1450"/>
            <w:tcMar>
              <w:top w:w="80" w:type="dxa"/>
              <w:start w:w="120" w:type="dxa"/>
              <w:bottom w:w="80" w:type="dxa"/>
              <w:end w:w="120" w:type="dxa"/>
            </w:tcMar>
            <w:vAlign w:val="center"/>
          </w:tcPr>
          <w:p>
            <w:pPr>
              <w:spacing w:after="0"/>
            </w:pPr>
            <w:r>
              <w:rPr>
                <w:rFonts w:ascii="Calibri" w:hAnsi="Calibri"/>
                <w:sz w:val="19"/>
              </w:rPr>
              <w:t>Won / Lost</w:t>
            </w:r>
          </w:p>
        </w:tc>
        <w:tc>
          <w:tcPr>
            <w:tcW w:type="dxa" w:w="3900"/>
            <w:tcMar>
              <w:top w:w="80" w:type="dxa"/>
              <w:start w:w="120" w:type="dxa"/>
              <w:bottom w:w="80" w:type="dxa"/>
              <w:end w:w="120" w:type="dxa"/>
            </w:tcMar>
            <w:vAlign w:val="center"/>
          </w:tcPr>
          <w:p>
            <w:pPr>
              <w:spacing w:after="0"/>
            </w:pPr>
            <w:r>
              <w:rPr>
                <w:rFonts w:ascii="Calibri" w:hAnsi="Calibri"/>
                <w:sz w:val="19"/>
              </w:rPr>
              <w:t>Record the final commercial outcome.</w:t>
            </w:r>
          </w:p>
        </w:tc>
        <w:tc>
          <w:tcPr>
            <w:tcW w:type="dxa" w:w="4010"/>
            <w:tcMar>
              <w:top w:w="80" w:type="dxa"/>
              <w:start w:w="120" w:type="dxa"/>
              <w:bottom w:w="80" w:type="dxa"/>
              <w:end w:w="120" w:type="dxa"/>
            </w:tcMar>
            <w:vAlign w:val="center"/>
          </w:tcPr>
          <w:p>
            <w:pPr>
              <w:spacing w:after="0"/>
            </w:pPr>
            <w:r>
              <w:rPr>
                <w:rFonts w:ascii="Calibri" w:hAnsi="Calibri"/>
                <w:sz w:val="19"/>
              </w:rPr>
              <w:t>Won work moves to contract; lost work requires a reason.</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2304A"/>
              </w:rPr>
              <w:t xml:space="preserve">Stage-gate rule: </w:t>
            </w:r>
            <w:r>
              <w:rPr>
                <w:rFonts w:ascii="Calibri" w:hAnsi="Calibri"/>
                <w:color w:val="12304A"/>
              </w:rPr>
              <w:t>A user must be able to create a New lead with minimal data. Mandatory project and qualification fields should be enforced when moving from New to Qualified, not when first saving the lead.</w:t>
            </w:r>
          </w:p>
        </w:tc>
      </w:tr>
    </w:tbl>
    <w:p>
      <w:pPr>
        <w:spacing w:after="40"/>
      </w:pPr>
    </w:p>
    <w:p>
      <w:pPr>
        <w:pStyle w:val="Heading1"/>
      </w:pPr>
      <w:r>
        <w:t>8. Evaluation and Go/No-Go</w:t>
      </w:r>
    </w:p>
    <w:p>
      <w:r>
        <w:t>Evaluation should cover both completeness and business risk. The organization currently pursues most opportunities, but the system must support a more disciplined future model with weighted criteria and a minimum score.</w:t>
      </w:r>
    </w:p>
    <w:p>
      <w:pPr>
        <w:pStyle w:val="ListBullet"/>
      </w:pPr>
      <w:r>
        <w:t>Payment risk and customer payment history.</w:t>
      </w:r>
    </w:p>
    <w:p>
      <w:pPr>
        <w:pStyle w:val="ListBullet"/>
      </w:pPr>
      <w:r>
        <w:t>Contractual conditions, liabilities and unusual obligations.</w:t>
      </w:r>
    </w:p>
    <w:p>
      <w:pPr>
        <w:pStyle w:val="ListBullet"/>
      </w:pPr>
      <w:r>
        <w:t>Missing or unclear information.</w:t>
      </w:r>
    </w:p>
    <w:p>
      <w:pPr>
        <w:pStyle w:val="ListBullet"/>
      </w:pPr>
      <w:r>
        <w:t>Technical capability and availability of internal resources.</w:t>
      </w:r>
    </w:p>
    <w:p>
      <w:pPr>
        <w:pStyle w:val="ListBullet"/>
      </w:pPr>
      <w:r>
        <w:t>Need for third-party specialists, permits or external consultants.</w:t>
      </w:r>
    </w:p>
    <w:p>
      <w:pPr>
        <w:pStyle w:val="ListBullet"/>
      </w:pPr>
      <w:r>
        <w:t>Schedule, site and manpower risks.</w:t>
      </w:r>
    </w:p>
    <w:p>
      <w:pPr>
        <w:pStyle w:val="ListBullet"/>
      </w:pPr>
      <w:r>
        <w:t>Unusual or high-cost deliverables such as media, visualization or specialist outputs.</w:t>
      </w:r>
    </w:p>
    <w:p>
      <w:pPr>
        <w:pStyle w:val="ListBullet"/>
      </w:pPr>
      <w:r>
        <w:t>Commercial viability, client importance and strategic value.</w:t>
      </w:r>
    </w:p>
    <w:p>
      <w:r>
        <w:t>When information is uncertain, estimates may be conservative rather than rejecting the opportunity. Approved exceptions should be documented so management can understand why an opportunity proceeds.</w:t>
      </w:r>
    </w:p>
    <w:p>
      <w:pPr>
        <w:pStyle w:val="Heading1"/>
      </w:pPr>
      <w:r>
        <w:t>9. Financial Estimation</w:t>
      </w:r>
    </w:p>
    <w:p>
      <w:r>
        <w:t>Financial estimation differs by service. Existing master Excel sheets use multiple factors, schedules and conditions. The implementation should support a practical phased approach.</w:t>
      </w:r>
    </w:p>
    <w:p>
      <w:pPr>
        <w:pStyle w:val="Heading2"/>
      </w:pPr>
      <w:r>
        <w:t>9.1 Initial Phase</w:t>
      </w:r>
    </w:p>
    <w:p>
      <w:pPr>
        <w:pStyle w:val="ListBullet"/>
      </w:pPr>
      <w:r>
        <w:t>Attach or upload the approved internal estimation workbook to the opportunity.</w:t>
      </w:r>
    </w:p>
    <w:p>
      <w:pPr>
        <w:pStyle w:val="ListBullet"/>
      </w:pPr>
      <w:r>
        <w:t>Record the calculation method, total estimated cost, margin, proposed price and approval status.</w:t>
      </w:r>
    </w:p>
    <w:p>
      <w:pPr>
        <w:pStyle w:val="ListBullet"/>
      </w:pPr>
      <w:r>
        <w:t>Restrict access to sensitive rates, factors, overheads and internal breakdowns.</w:t>
      </w:r>
    </w:p>
    <w:p>
      <w:pPr>
        <w:pStyle w:val="Heading2"/>
      </w:pPr>
      <w:r>
        <w:t>9.2 Future Automation</w:t>
      </w:r>
    </w:p>
    <w:p>
      <w:pPr>
        <w:pStyle w:val="ListBullet"/>
      </w:pPr>
      <w:r>
        <w:t>Configure master factors by service, client classification and project attributes.</w:t>
      </w:r>
    </w:p>
    <w:p>
      <w:pPr>
        <w:pStyle w:val="ListBullet"/>
      </w:pPr>
      <w:r>
        <w:t>Calculate price through hourly rates, cost-plus, percentage or lump-sum logic.</w:t>
      </w:r>
    </w:p>
    <w:p>
      <w:pPr>
        <w:pStyle w:val="ListBullet"/>
      </w:pPr>
      <w:r>
        <w:t>Retain calculation versions and the user who approved each version.</w:t>
      </w:r>
    </w:p>
    <w:p>
      <w:pPr>
        <w:pStyle w:val="ListBullet"/>
      </w:pPr>
      <w:r>
        <w:t>Generate a customer-facing breakdown without exposing internal cost justification.</w:t>
      </w:r>
    </w:p>
    <w:p>
      <w:pPr>
        <w:pStyle w:val="Heading1"/>
      </w:pPr>
      <w:r>
        <w:t>10. Quotation and Negotiation</w:t>
      </w:r>
    </w:p>
    <w:p>
      <w:pPr>
        <w:pStyle w:val="ListBullet"/>
      </w:pPr>
      <w:r>
        <w:t>Create the quotation from the qualified opportunity and send it from Odoo.</w:t>
      </w:r>
    </w:p>
    <w:p>
      <w:pPr>
        <w:pStyle w:val="ListBullet"/>
      </w:pPr>
      <w:r>
        <w:t>Support a total service price or a breakdown by phase, discipline, party, deliverable or service component.</w:t>
      </w:r>
    </w:p>
    <w:p>
      <w:pPr>
        <w:pStyle w:val="ListBullet"/>
      </w:pPr>
      <w:r>
        <w:t>Present the payment schedule separately from the price breakdown.</w:t>
      </w:r>
    </w:p>
    <w:p>
      <w:pPr>
        <w:pStyle w:val="ListBullet"/>
      </w:pPr>
      <w:r>
        <w:t>Keep customer-facing language simple enough for a non-specialist to understand.</w:t>
      </w:r>
    </w:p>
    <w:p>
      <w:pPr>
        <w:pStyle w:val="ListBullet"/>
      </w:pPr>
      <w:r>
        <w:t>Allow revisions while the quotation remains unconfirmed, including changes to scope, services, price and payment terms.</w:t>
      </w:r>
    </w:p>
    <w:p>
      <w:pPr>
        <w:pStyle w:val="ListBullet"/>
      </w:pPr>
      <w:r>
        <w:t>Maintain the same quotation record and revision history rather than creating disconnected documents.</w:t>
      </w:r>
    </w:p>
    <w:p>
      <w:pPr>
        <w:pStyle w:val="ListBullet"/>
      </w:pPr>
      <w:r>
        <w:t>The opportunity may remain open until the quotation is accepted and becomes a sales order.</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color w:val="12304A"/>
              </w:rPr>
              <w:t xml:space="preserve">Document continuity: </w:t>
            </w:r>
            <w:r>
              <w:rPr>
                <w:rFonts w:ascii="Calibri" w:hAnsi="Calibri"/>
                <w:color w:val="12304A"/>
              </w:rPr>
              <w:t>The quotation and sales order should be one controlled commercial record. Confirmation changes its status; it should not create an unrelated duplicate document.</w:t>
            </w:r>
          </w:p>
        </w:tc>
      </w:tr>
    </w:tbl>
    <w:p>
      <w:pPr>
        <w:spacing w:after="40"/>
      </w:pPr>
    </w:p>
    <w:p>
      <w:pPr>
        <w:pStyle w:val="Heading1"/>
      </w:pPr>
      <w:r>
        <w:t>11. Contract Management</w:t>
      </w:r>
    </w:p>
    <w:p>
      <w:pPr>
        <w:spacing w:after="160" w:line="280" w:lineRule="auto"/>
        <w:numPr>
          <w:ilvl w:val="0"/>
          <w:numId w:val="11"/>
        </w:numPr>
      </w:pPr>
      <w:r>
        <w:t>Create a draft contract after commercial acceptance, reflecting the approved scope, price, payment terms, obligations and conditions.</w:t>
      </w:r>
    </w:p>
    <w:p>
      <w:pPr>
        <w:spacing w:after="160" w:line="280" w:lineRule="auto"/>
        <w:numPr>
          <w:ilvl w:val="0"/>
          <w:numId w:val="11"/>
        </w:numPr>
      </w:pPr>
      <w:r>
        <w:t>Mark the draft clearly with a Draft watermark and do not assign the final contract code prematurely.</w:t>
      </w:r>
    </w:p>
    <w:p>
      <w:pPr>
        <w:spacing w:after="160" w:line="280" w:lineRule="auto"/>
        <w:numPr>
          <w:ilvl w:val="0"/>
          <w:numId w:val="11"/>
        </w:numPr>
      </w:pPr>
      <w:r>
        <w:t>Collect the customer's legal credentials and registration documents while preparing the draft.</w:t>
      </w:r>
    </w:p>
    <w:p>
      <w:pPr>
        <w:spacing w:after="160" w:line="280" w:lineRule="auto"/>
        <w:numPr>
          <w:ilvl w:val="0"/>
          <w:numId w:val="11"/>
        </w:numPr>
      </w:pPr>
      <w:r>
        <w:t>Manage versioned negotiation of contract clauses and customer comments.</w:t>
      </w:r>
    </w:p>
    <w:p>
      <w:pPr>
        <w:spacing w:after="160" w:line="280" w:lineRule="auto"/>
        <w:numPr>
          <w:ilvl w:val="0"/>
          <w:numId w:val="11"/>
        </w:numPr>
      </w:pPr>
      <w:r>
        <w:t>After approval, generate the final contract and request the customer signature first.</w:t>
      </w:r>
    </w:p>
    <w:p>
      <w:pPr>
        <w:spacing w:after="160" w:line="280" w:lineRule="auto"/>
        <w:numPr>
          <w:ilvl w:val="0"/>
          <w:numId w:val="11"/>
        </w:numPr>
      </w:pPr>
      <w:r>
        <w:t>Apply the company signature after the customer has signed, then store and distribute the fully executed copy.</w:t>
      </w:r>
    </w:p>
    <w:p>
      <w:pPr>
        <w:spacing w:after="160" w:line="280" w:lineRule="auto"/>
        <w:numPr>
          <w:ilvl w:val="0"/>
          <w:numId w:val="11"/>
        </w:numPr>
      </w:pPr>
      <w:r>
        <w:t>Register the contract and trigger the first-payment and project-handover activities.</w:t>
      </w:r>
    </w:p>
    <w:p>
      <w:pPr>
        <w:pStyle w:val="Heading1"/>
      </w:pPr>
      <w:r>
        <w:t>12. Project Handover and Delivery Governance</w:t>
      </w:r>
    </w:p>
    <w:p>
      <w:pPr>
        <w:pStyle w:val="ListBullet"/>
      </w:pPr>
      <w:r>
        <w:t>Confirm receipt or status of the first contractual payment.</w:t>
      </w:r>
    </w:p>
    <w:p>
      <w:pPr>
        <w:pStyle w:val="ListBullet"/>
      </w:pPr>
      <w:r>
        <w:t>Create or update the project and transfer the approved commercial and technical information.</w:t>
      </w:r>
    </w:p>
    <w:p>
      <w:pPr>
        <w:pStyle w:val="ListBullet"/>
      </w:pPr>
      <w:r>
        <w:t>Notify the department chief, project manager, technical team and other assigned stakeholders.</w:t>
      </w:r>
    </w:p>
    <w:p>
      <w:pPr>
        <w:pStyle w:val="ListBullet"/>
      </w:pPr>
      <w:r>
        <w:t>Share the executed contract, approved scope, client information, risks and key commitments.</w:t>
      </w:r>
    </w:p>
    <w:p>
      <w:pPr>
        <w:pStyle w:val="ListBullet"/>
      </w:pPr>
      <w:r>
        <w:t>Schedule and document the kickoff meeting, including introduction of the client to the appointed delivery team.</w:t>
      </w:r>
    </w:p>
    <w:p>
      <w:pPr>
        <w:pStyle w:val="ListBullet"/>
      </w:pPr>
      <w:r>
        <w:t>Business Development gradually steps back from daily delivery but remains part of steering, commercial escalation and major issue management.</w:t>
      </w:r>
    </w:p>
    <w:p>
      <w:pPr>
        <w:pStyle w:val="ListBullet"/>
      </w:pPr>
      <w:r>
        <w:t>Payment delays, serious disputes, disengagement and legal matters are coordinated through Business Development and department leadership.</w:t>
      </w:r>
    </w:p>
    <w:p>
      <w:pPr>
        <w:pStyle w:val="Heading1"/>
      </w:pPr>
      <w:r>
        <w:t>13. Periodic Client Evaluation</w:t>
      </w:r>
    </w:p>
    <w:p>
      <w:r>
        <w:t>Client satisfaction should be collected during delivery, not only after completion. The system should periodically send a simple evaluation to the client monthly or at agreed project stages.</w:t>
      </w:r>
    </w:p>
    <w:p>
      <w:pPr>
        <w:pStyle w:val="ListBullet"/>
      </w:pPr>
      <w:r>
        <w:t>Link each response to the customer, contract, project, department and responsible team.</w:t>
      </w:r>
    </w:p>
    <w:p>
      <w:pPr>
        <w:pStyle w:val="ListBullet"/>
      </w:pPr>
      <w:r>
        <w:t>Track satisfaction trend, comments, response date and follow-up owner.</w:t>
      </w:r>
    </w:p>
    <w:p>
      <w:pPr>
        <w:pStyle w:val="ListBullet"/>
      </w:pPr>
      <w:r>
        <w:t>Escalate low ratings or serious comments to management and Business Development.</w:t>
      </w:r>
    </w:p>
    <w:p>
      <w:pPr>
        <w:pStyle w:val="ListBullet"/>
      </w:pPr>
      <w:r>
        <w:t>Use the feedback as part of project governance and future customer relationship management.</w:t>
      </w:r>
    </w:p>
    <w:p>
      <w:pPr>
        <w:pStyle w:val="Heading1"/>
      </w:pPr>
      <w:r>
        <w:t>14. Access, Licensing and Site Employees</w:t>
      </w:r>
    </w:p>
    <w:p>
      <w:r>
        <w:t>Employees dedicated to client sites or external studios may not require full system access. Access decisions should be based on the work they perform in the system, not only their employment status.</w:t>
      </w:r>
    </w:p>
    <w:p>
      <w:pPr>
        <w:pStyle w:val="ListBullet"/>
      </w:pPr>
      <w:r>
        <w:t>Identify whether site employees need timesheets, attendance, task updates, reports or approvals.</w:t>
      </w:r>
    </w:p>
    <w:p>
      <w:pPr>
        <w:pStyle w:val="ListBullet"/>
      </w:pPr>
      <w:r>
        <w:t>Use limited or portal-style access where practical.</w:t>
      </w:r>
    </w:p>
    <w:p>
      <w:pPr>
        <w:pStyle w:val="ListBullet"/>
      </w:pPr>
      <w:r>
        <w:t>Review reporting lines for employees who technically belong to the company but report operationally to a client or studio.</w:t>
      </w:r>
    </w:p>
    <w:p>
      <w:pPr>
        <w:pStyle w:val="ListBullet"/>
      </w:pPr>
      <w:r>
        <w:t>Confirm licensing impact during the project-management and access-control workshop.</w:t>
      </w:r>
    </w:p>
    <w:p>
      <w:pPr>
        <w:pStyle w:val="Heading1"/>
      </w:pPr>
      <w:r>
        <w:t>15. Reporting and Analytics</w:t>
      </w:r>
    </w:p>
    <w:p>
      <w:pPr>
        <w:pStyle w:val="ListBullet"/>
      </w:pPr>
      <w:r>
        <w:t>Pipeline by department, service, salesperson, source, client and stage.</w:t>
      </w:r>
    </w:p>
    <w:p>
      <w:pPr>
        <w:pStyle w:val="ListBullet"/>
      </w:pPr>
      <w:r>
        <w:t>Expected revenue, probability, expected close date and aging.</w:t>
      </w:r>
    </w:p>
    <w:p>
      <w:pPr>
        <w:pStyle w:val="ListBullet"/>
      </w:pPr>
      <w:r>
        <w:t>Go/no-go scores, exception reasons and risk exposure.</w:t>
      </w:r>
    </w:p>
    <w:p>
      <w:pPr>
        <w:pStyle w:val="ListBullet"/>
      </w:pPr>
      <w:r>
        <w:t>Quotation value, revision count, win rate and time to decision.</w:t>
      </w:r>
    </w:p>
    <w:p>
      <w:pPr>
        <w:pStyle w:val="ListBullet"/>
      </w:pPr>
      <w:r>
        <w:t>Lost, cancelled and on-hold opportunities with mandatory reasons.</w:t>
      </w:r>
    </w:p>
    <w:p>
      <w:pPr>
        <w:pStyle w:val="ListBullet"/>
      </w:pPr>
      <w:r>
        <w:t>Contract status, signature cycle time, first-payment status and project handover progress.</w:t>
      </w:r>
    </w:p>
    <w:p>
      <w:pPr>
        <w:pStyle w:val="ListBullet"/>
      </w:pPr>
      <w:r>
        <w:t>Client satisfaction trend and unresolved escalations.</w:t>
      </w:r>
    </w:p>
    <w:p>
      <w:pPr>
        <w:pStyle w:val="ListBullet"/>
      </w:pPr>
      <w:r>
        <w:t>Resource demand by role, duration, dedication and department.</w:t>
      </w:r>
    </w:p>
    <w:p>
      <w:pPr>
        <w:pStyle w:val="Heading1"/>
      </w:pPr>
      <w:r>
        <w:t>16. End-to-End Target Workflow</w:t>
      </w:r>
    </w:p>
    <w:p>
      <w:pPr>
        <w:spacing w:after="160" w:line="280" w:lineRule="auto"/>
        <w:numPr>
          <w:ilvl w:val="0"/>
          <w:numId w:val="12"/>
        </w:numPr>
      </w:pPr>
      <w:r>
        <w:t>Receive the lead through referral, email, WhatsApp, website or tender platform.</w:t>
      </w:r>
    </w:p>
    <w:p>
      <w:pPr>
        <w:spacing w:after="160" w:line="280" w:lineRule="auto"/>
        <w:numPr>
          <w:ilvl w:val="0"/>
          <w:numId w:val="12"/>
        </w:numPr>
      </w:pPr>
      <w:r>
        <w:t>Create a New opportunity with the information currently available.</w:t>
      </w:r>
    </w:p>
    <w:p>
      <w:pPr>
        <w:spacing w:after="160" w:line="280" w:lineRule="auto"/>
        <w:numPr>
          <w:ilvl w:val="0"/>
          <w:numId w:val="12"/>
        </w:numPr>
      </w:pPr>
      <w:r>
        <w:t>Select the department and main services so the relevant project fields appear.</w:t>
      </w:r>
    </w:p>
    <w:p>
      <w:pPr>
        <w:spacing w:after="160" w:line="280" w:lineRule="auto"/>
        <w:numPr>
          <w:ilvl w:val="0"/>
          <w:numId w:val="12"/>
        </w:numPr>
      </w:pPr>
      <w:r>
        <w:t>Collect missing details and complete the qualification fields.</w:t>
      </w:r>
    </w:p>
    <w:p>
      <w:pPr>
        <w:spacing w:after="160" w:line="280" w:lineRule="auto"/>
        <w:numPr>
          <w:ilvl w:val="0"/>
          <w:numId w:val="12"/>
        </w:numPr>
      </w:pPr>
      <w:r>
        <w:t>Move to Qualified only when the applicable mandatory fields are complete.</w:t>
      </w:r>
    </w:p>
    <w:p>
      <w:pPr>
        <w:spacing w:after="160" w:line="280" w:lineRule="auto"/>
        <w:numPr>
          <w:ilvl w:val="0"/>
          <w:numId w:val="12"/>
        </w:numPr>
      </w:pPr>
      <w:r>
        <w:t>Perform risk, capability, payment and contractual evaluation and record the go/no-go outcome.</w:t>
      </w:r>
    </w:p>
    <w:p>
      <w:pPr>
        <w:spacing w:after="160" w:line="280" w:lineRule="auto"/>
        <w:numPr>
          <w:ilvl w:val="0"/>
          <w:numId w:val="12"/>
        </w:numPr>
      </w:pPr>
      <w:r>
        <w:t>Prepare and approve the internal financial estimate.</w:t>
      </w:r>
    </w:p>
    <w:p>
      <w:pPr>
        <w:spacing w:after="160" w:line="280" w:lineRule="auto"/>
        <w:numPr>
          <w:ilvl w:val="0"/>
          <w:numId w:val="12"/>
        </w:numPr>
      </w:pPr>
      <w:r>
        <w:t>Create, issue and revise the quotation while preserving all communication in chatter.</w:t>
      </w:r>
    </w:p>
    <w:p>
      <w:pPr>
        <w:spacing w:after="160" w:line="280" w:lineRule="auto"/>
        <w:numPr>
          <w:ilvl w:val="0"/>
          <w:numId w:val="12"/>
        </w:numPr>
      </w:pPr>
      <w:r>
        <w:t>Record acceptance, loss, cancellation or hold, including the reason where applicable.</w:t>
      </w:r>
    </w:p>
    <w:p>
      <w:pPr>
        <w:spacing w:after="160" w:line="280" w:lineRule="auto"/>
        <w:numPr>
          <w:ilvl w:val="0"/>
          <w:numId w:val="12"/>
        </w:numPr>
      </w:pPr>
      <w:r>
        <w:t>For won work, create and negotiate the draft contract, collect credentials and produce the final contract.</w:t>
      </w:r>
    </w:p>
    <w:p>
      <w:pPr>
        <w:spacing w:after="160" w:line="280" w:lineRule="auto"/>
        <w:numPr>
          <w:ilvl w:val="0"/>
          <w:numId w:val="12"/>
        </w:numPr>
      </w:pPr>
      <w:r>
        <w:t>Obtain the customer signature, apply the company signature and register the executed contract.</w:t>
      </w:r>
    </w:p>
    <w:p>
      <w:pPr>
        <w:spacing w:after="160" w:line="280" w:lineRule="auto"/>
        <w:numPr>
          <w:ilvl w:val="0"/>
          <w:numId w:val="12"/>
        </w:numPr>
      </w:pPr>
      <w:r>
        <w:t>Trigger first-payment follow-up, project creation, internal handover and kickoff.</w:t>
      </w:r>
    </w:p>
    <w:p>
      <w:pPr>
        <w:spacing w:after="160" w:line="280" w:lineRule="auto"/>
        <w:numPr>
          <w:ilvl w:val="0"/>
          <w:numId w:val="12"/>
        </w:numPr>
      </w:pPr>
      <w:r>
        <w:t>Deliver the service with project governance, periodic client evaluation and escalation management.</w:t>
      </w:r>
    </w:p>
    <w:p>
      <w:pPr>
        <w:pStyle w:val="Heading1"/>
      </w:pPr>
      <w:r>
        <w:t>17. Functional Requirement Summary</w:t>
      </w:r>
    </w:p>
    <w:tbl>
      <w:tblPr>
        <w:tblStyle w:val="TableGrid"/>
        <w:tblW w:type="dxa" w:w="9360"/>
        <w:tblLayout w:type="fixed"/>
        <w:tblLook w:firstColumn="1" w:firstRow="1" w:lastColumn="0" w:lastRow="0" w:noHBand="0" w:noVBand="1" w:val="04A0"/>
        <w:tblInd w:w="120" w:type="dxa"/>
      </w:tblPr>
      <w:tblGrid>
        <w:gridCol w:w="1100"/>
        <w:gridCol w:w="6900"/>
        <w:gridCol w:w="1360"/>
      </w:tblGrid>
      <w:tr>
        <w:trPr>
          <w:tblHeader w:val="true"/>
        </w:trPr>
        <w:tc>
          <w:tcPr>
            <w:tcW w:type="dxa" w:w="1100"/>
            <w:tcMar>
              <w:top w:w="80" w:type="dxa"/>
              <w:start w:w="120" w:type="dxa"/>
              <w:bottom w:w="80" w:type="dxa"/>
              <w:end w:w="120" w:type="dxa"/>
            </w:tcMar>
            <w:vAlign w:val="center"/>
            <w:shd w:fill="12304A"/>
          </w:tcPr>
          <w:p>
            <w:pPr>
              <w:jc w:val="center"/>
            </w:pPr>
            <w:r>
              <w:rPr>
                <w:rFonts w:ascii="Calibri" w:hAnsi="Calibri"/>
                <w:b/>
                <w:color w:val="FFFFFF"/>
                <w:sz w:val="19"/>
              </w:rPr>
              <w:t>ID</w:t>
            </w:r>
          </w:p>
        </w:tc>
        <w:tc>
          <w:tcPr>
            <w:tcW w:type="dxa" w:w="6900"/>
            <w:tcMar>
              <w:top w:w="80" w:type="dxa"/>
              <w:start w:w="120" w:type="dxa"/>
              <w:bottom w:w="80" w:type="dxa"/>
              <w:end w:w="120" w:type="dxa"/>
            </w:tcMar>
            <w:vAlign w:val="center"/>
            <w:shd w:fill="12304A"/>
          </w:tcPr>
          <w:p>
            <w:pPr>
              <w:jc w:val="center"/>
            </w:pPr>
            <w:r>
              <w:rPr>
                <w:rFonts w:ascii="Calibri" w:hAnsi="Calibri"/>
                <w:b/>
                <w:color w:val="FFFFFF"/>
                <w:sz w:val="19"/>
              </w:rPr>
              <w:t>Requirement</w:t>
            </w:r>
          </w:p>
        </w:tc>
        <w:tc>
          <w:tcPr>
            <w:tcW w:type="dxa" w:w="1360"/>
            <w:tcMar>
              <w:top w:w="80" w:type="dxa"/>
              <w:start w:w="120" w:type="dxa"/>
              <w:bottom w:w="80" w:type="dxa"/>
              <w:end w:w="120" w:type="dxa"/>
            </w:tcMar>
            <w:vAlign w:val="center"/>
            <w:shd w:fill="12304A"/>
          </w:tcPr>
          <w:p>
            <w:pPr>
              <w:jc w:val="center"/>
            </w:pPr>
            <w:r>
              <w:rPr>
                <w:rFonts w:ascii="Calibri" w:hAnsi="Calibri"/>
                <w:b/>
                <w:color w:val="FFFFFF"/>
                <w:sz w:val="19"/>
              </w:rPr>
              <w:t>Priority</w:t>
            </w:r>
          </w:p>
        </w:tc>
      </w:tr>
      <w:tr>
        <w:tc>
          <w:tcPr>
            <w:tcW w:type="dxa" w:w="1100"/>
            <w:tcMar>
              <w:top w:w="80" w:type="dxa"/>
              <w:start w:w="120" w:type="dxa"/>
              <w:bottom w:w="80" w:type="dxa"/>
              <w:end w:w="120" w:type="dxa"/>
            </w:tcMar>
            <w:vAlign w:val="center"/>
          </w:tcPr>
          <w:p>
            <w:pPr>
              <w:spacing w:after="0"/>
            </w:pPr>
            <w:r>
              <w:rPr>
                <w:rFonts w:ascii="Calibri" w:hAnsi="Calibri"/>
                <w:sz w:val="19"/>
              </w:rPr>
              <w:t>CRM-01</w:t>
            </w:r>
          </w:p>
        </w:tc>
        <w:tc>
          <w:tcPr>
            <w:tcW w:type="dxa" w:w="6900"/>
            <w:tcMar>
              <w:top w:w="80" w:type="dxa"/>
              <w:start w:w="120" w:type="dxa"/>
              <w:bottom w:w="80" w:type="dxa"/>
              <w:end w:w="120" w:type="dxa"/>
            </w:tcMar>
            <w:vAlign w:val="center"/>
          </w:tcPr>
          <w:p>
            <w:pPr>
              <w:spacing w:after="0"/>
            </w:pPr>
            <w:r>
              <w:rPr>
                <w:rFonts w:ascii="Calibri" w:hAnsi="Calibri"/>
                <w:sz w:val="19"/>
              </w:rPr>
              <w:t>Allow minimal-data lead creation and enforce mandatory fields at stage transition.</w:t>
            </w:r>
          </w:p>
        </w:tc>
        <w:tc>
          <w:tcPr>
            <w:tcW w:type="dxa" w:w="1360"/>
            <w:tcMar>
              <w:top w:w="80" w:type="dxa"/>
              <w:start w:w="120" w:type="dxa"/>
              <w:bottom w:w="80" w:type="dxa"/>
              <w:end w:w="120" w:type="dxa"/>
            </w:tcMar>
            <w:vAlign w:val="center"/>
          </w:tcPr>
          <w:p>
            <w:pPr>
              <w:spacing w:after="0"/>
            </w:pPr>
            <w:r>
              <w:rPr>
                <w:rFonts w:ascii="Calibri" w:hAnsi="Calibri"/>
                <w:sz w:val="19"/>
              </w:rPr>
              <w:t>Must</w:t>
            </w:r>
          </w:p>
        </w:tc>
      </w:tr>
      <w:tr>
        <w:tc>
          <w:tcPr>
            <w:tcW w:type="dxa" w:w="1100"/>
            <w:shd w:fill="F2F4F7"/>
            <w:tcMar>
              <w:top w:w="80" w:type="dxa"/>
              <w:start w:w="120" w:type="dxa"/>
              <w:bottom w:w="80" w:type="dxa"/>
              <w:end w:w="120" w:type="dxa"/>
            </w:tcMar>
            <w:vAlign w:val="center"/>
          </w:tcPr>
          <w:p>
            <w:pPr>
              <w:spacing w:after="0"/>
            </w:pPr>
            <w:r>
              <w:rPr>
                <w:rFonts w:ascii="Calibri" w:hAnsi="Calibri"/>
                <w:sz w:val="19"/>
              </w:rPr>
              <w:t>CRM-02</w:t>
            </w:r>
          </w:p>
        </w:tc>
        <w:tc>
          <w:tcPr>
            <w:tcW w:type="dxa" w:w="6900"/>
            <w:shd w:fill="F2F4F7"/>
            <w:tcMar>
              <w:top w:w="80" w:type="dxa"/>
              <w:start w:w="120" w:type="dxa"/>
              <w:bottom w:w="80" w:type="dxa"/>
              <w:end w:w="120" w:type="dxa"/>
            </w:tcMar>
            <w:vAlign w:val="center"/>
          </w:tcPr>
          <w:p>
            <w:pPr>
              <w:spacing w:after="0"/>
            </w:pPr>
            <w:r>
              <w:rPr>
                <w:rFonts w:ascii="Calibri" w:hAnsi="Calibri"/>
                <w:sz w:val="19"/>
              </w:rPr>
              <w:t>Dynamically show fields and mandatory rules by department and service.</w:t>
            </w:r>
          </w:p>
        </w:tc>
        <w:tc>
          <w:tcPr>
            <w:tcW w:type="dxa" w:w="1360"/>
            <w:shd w:fill="F2F4F7"/>
            <w:tcMar>
              <w:top w:w="80" w:type="dxa"/>
              <w:start w:w="120" w:type="dxa"/>
              <w:bottom w:w="80" w:type="dxa"/>
              <w:end w:w="120" w:type="dxa"/>
            </w:tcMar>
            <w:vAlign w:val="center"/>
          </w:tcPr>
          <w:p>
            <w:pPr>
              <w:spacing w:after="0"/>
            </w:pPr>
            <w:r>
              <w:rPr>
                <w:rFonts w:ascii="Calibri" w:hAnsi="Calibri"/>
                <w:sz w:val="19"/>
              </w:rPr>
              <w:t>Must</w:t>
            </w:r>
          </w:p>
        </w:tc>
      </w:tr>
      <w:tr>
        <w:tc>
          <w:tcPr>
            <w:tcW w:type="dxa" w:w="1100"/>
            <w:tcMar>
              <w:top w:w="80" w:type="dxa"/>
              <w:start w:w="120" w:type="dxa"/>
              <w:bottom w:w="80" w:type="dxa"/>
              <w:end w:w="120" w:type="dxa"/>
            </w:tcMar>
            <w:vAlign w:val="center"/>
          </w:tcPr>
          <w:p>
            <w:pPr>
              <w:spacing w:after="0"/>
            </w:pPr>
            <w:r>
              <w:rPr>
                <w:rFonts w:ascii="Calibri" w:hAnsi="Calibri"/>
                <w:sz w:val="19"/>
              </w:rPr>
              <w:t>CRM-03</w:t>
            </w:r>
          </w:p>
        </w:tc>
        <w:tc>
          <w:tcPr>
            <w:tcW w:type="dxa" w:w="6900"/>
            <w:tcMar>
              <w:top w:w="80" w:type="dxa"/>
              <w:start w:w="120" w:type="dxa"/>
              <w:bottom w:w="80" w:type="dxa"/>
              <w:end w:w="120" w:type="dxa"/>
            </w:tcMar>
            <w:vAlign w:val="center"/>
          </w:tcPr>
          <w:p>
            <w:pPr>
              <w:spacing w:after="0"/>
            </w:pPr>
            <w:r>
              <w:rPr>
                <w:rFonts w:ascii="Calibri" w:hAnsi="Calibri"/>
                <w:sz w:val="19"/>
              </w:rPr>
              <w:t>Provide project information, risk and notes divisions on the opportunity.</w:t>
            </w:r>
          </w:p>
        </w:tc>
        <w:tc>
          <w:tcPr>
            <w:tcW w:type="dxa" w:w="1360"/>
            <w:tcMar>
              <w:top w:w="80" w:type="dxa"/>
              <w:start w:w="120" w:type="dxa"/>
              <w:bottom w:w="80" w:type="dxa"/>
              <w:end w:w="120" w:type="dxa"/>
            </w:tcMar>
            <w:vAlign w:val="center"/>
          </w:tcPr>
          <w:p>
            <w:pPr>
              <w:spacing w:after="0"/>
            </w:pPr>
            <w:r>
              <w:rPr>
                <w:rFonts w:ascii="Calibri" w:hAnsi="Calibri"/>
                <w:sz w:val="19"/>
              </w:rPr>
              <w:t>Must</w:t>
            </w:r>
          </w:p>
        </w:tc>
      </w:tr>
      <w:tr>
        <w:tc>
          <w:tcPr>
            <w:tcW w:type="dxa" w:w="1100"/>
            <w:shd w:fill="F2F4F7"/>
            <w:tcMar>
              <w:top w:w="80" w:type="dxa"/>
              <w:start w:w="120" w:type="dxa"/>
              <w:bottom w:w="80" w:type="dxa"/>
              <w:end w:w="120" w:type="dxa"/>
            </w:tcMar>
            <w:vAlign w:val="center"/>
          </w:tcPr>
          <w:p>
            <w:pPr>
              <w:spacing w:after="0"/>
            </w:pPr>
            <w:r>
              <w:rPr>
                <w:rFonts w:ascii="Calibri" w:hAnsi="Calibri"/>
                <w:sz w:val="19"/>
              </w:rPr>
              <w:t>CRM-04</w:t>
            </w:r>
          </w:p>
        </w:tc>
        <w:tc>
          <w:tcPr>
            <w:tcW w:type="dxa" w:w="6900"/>
            <w:shd w:fill="F2F4F7"/>
            <w:tcMar>
              <w:top w:w="80" w:type="dxa"/>
              <w:start w:w="120" w:type="dxa"/>
              <w:bottom w:w="80" w:type="dxa"/>
              <w:end w:w="120" w:type="dxa"/>
            </w:tcMar>
            <w:vAlign w:val="center"/>
          </w:tcPr>
          <w:p>
            <w:pPr>
              <w:spacing w:after="0"/>
            </w:pPr>
            <w:r>
              <w:rPr>
                <w:rFonts w:ascii="Calibri" w:hAnsi="Calibri"/>
                <w:sz w:val="19"/>
              </w:rPr>
              <w:t>Store email threads, attachments, followers and internal mentions on the related record.</w:t>
            </w:r>
          </w:p>
        </w:tc>
        <w:tc>
          <w:tcPr>
            <w:tcW w:type="dxa" w:w="1360"/>
            <w:shd w:fill="F2F4F7"/>
            <w:tcMar>
              <w:top w:w="80" w:type="dxa"/>
              <w:start w:w="120" w:type="dxa"/>
              <w:bottom w:w="80" w:type="dxa"/>
              <w:end w:w="120" w:type="dxa"/>
            </w:tcMar>
            <w:vAlign w:val="center"/>
          </w:tcPr>
          <w:p>
            <w:pPr>
              <w:spacing w:after="0"/>
            </w:pPr>
            <w:r>
              <w:rPr>
                <w:rFonts w:ascii="Calibri" w:hAnsi="Calibri"/>
                <w:sz w:val="19"/>
              </w:rPr>
              <w:t>Must</w:t>
            </w:r>
          </w:p>
        </w:tc>
      </w:tr>
      <w:tr>
        <w:tc>
          <w:tcPr>
            <w:tcW w:type="dxa" w:w="1100"/>
            <w:tcMar>
              <w:top w:w="80" w:type="dxa"/>
              <w:start w:w="120" w:type="dxa"/>
              <w:bottom w:w="80" w:type="dxa"/>
              <w:end w:w="120" w:type="dxa"/>
            </w:tcMar>
            <w:vAlign w:val="center"/>
          </w:tcPr>
          <w:p>
            <w:pPr>
              <w:spacing w:after="0"/>
            </w:pPr>
            <w:r>
              <w:rPr>
                <w:rFonts w:ascii="Calibri" w:hAnsi="Calibri"/>
                <w:sz w:val="19"/>
              </w:rPr>
              <w:t>CRM-05</w:t>
            </w:r>
          </w:p>
        </w:tc>
        <w:tc>
          <w:tcPr>
            <w:tcW w:type="dxa" w:w="6900"/>
            <w:tcMar>
              <w:top w:w="80" w:type="dxa"/>
              <w:start w:w="120" w:type="dxa"/>
              <w:bottom w:w="80" w:type="dxa"/>
              <w:end w:w="120" w:type="dxa"/>
            </w:tcMar>
            <w:vAlign w:val="center"/>
          </w:tcPr>
          <w:p>
            <w:pPr>
              <w:spacing w:after="0"/>
            </w:pPr>
            <w:r>
              <w:rPr>
                <w:rFonts w:ascii="Calibri" w:hAnsi="Calibri"/>
                <w:sz w:val="19"/>
              </w:rPr>
              <w:t>Support structured evaluation, go/no-go decisions and future weighted scoring.</w:t>
            </w:r>
          </w:p>
        </w:tc>
        <w:tc>
          <w:tcPr>
            <w:tcW w:type="dxa" w:w="1360"/>
            <w:tcMar>
              <w:top w:w="80" w:type="dxa"/>
              <w:start w:w="120" w:type="dxa"/>
              <w:bottom w:w="80" w:type="dxa"/>
              <w:end w:w="120" w:type="dxa"/>
            </w:tcMar>
            <w:vAlign w:val="center"/>
          </w:tcPr>
          <w:p>
            <w:pPr>
              <w:spacing w:after="0"/>
            </w:pPr>
            <w:r>
              <w:rPr>
                <w:rFonts w:ascii="Calibri" w:hAnsi="Calibri"/>
                <w:sz w:val="19"/>
              </w:rPr>
              <w:t>Must</w:t>
            </w:r>
          </w:p>
        </w:tc>
      </w:tr>
      <w:tr>
        <w:tc>
          <w:tcPr>
            <w:tcW w:type="dxa" w:w="1100"/>
            <w:shd w:fill="F2F4F7"/>
            <w:tcMar>
              <w:top w:w="80" w:type="dxa"/>
              <w:start w:w="120" w:type="dxa"/>
              <w:bottom w:w="80" w:type="dxa"/>
              <w:end w:w="120" w:type="dxa"/>
            </w:tcMar>
            <w:vAlign w:val="center"/>
          </w:tcPr>
          <w:p>
            <w:pPr>
              <w:spacing w:after="0"/>
            </w:pPr>
            <w:r>
              <w:rPr>
                <w:rFonts w:ascii="Calibri" w:hAnsi="Calibri"/>
                <w:sz w:val="19"/>
              </w:rPr>
              <w:t>EST-01</w:t>
            </w:r>
          </w:p>
        </w:tc>
        <w:tc>
          <w:tcPr>
            <w:tcW w:type="dxa" w:w="6900"/>
            <w:shd w:fill="F2F4F7"/>
            <w:tcMar>
              <w:top w:w="80" w:type="dxa"/>
              <w:start w:w="120" w:type="dxa"/>
              <w:bottom w:w="80" w:type="dxa"/>
              <w:end w:w="120" w:type="dxa"/>
            </w:tcMar>
            <w:vAlign w:val="center"/>
          </w:tcPr>
          <w:p>
            <w:pPr>
              <w:spacing w:after="0"/>
            </w:pPr>
            <w:r>
              <w:rPr>
                <w:rFonts w:ascii="Calibri" w:hAnsi="Calibri"/>
                <w:sz w:val="19"/>
              </w:rPr>
              <w:t>Store confidential internal estimates and support multiple pricing methods.</w:t>
            </w:r>
          </w:p>
        </w:tc>
        <w:tc>
          <w:tcPr>
            <w:tcW w:type="dxa" w:w="1360"/>
            <w:shd w:fill="F2F4F7"/>
            <w:tcMar>
              <w:top w:w="80" w:type="dxa"/>
              <w:start w:w="120" w:type="dxa"/>
              <w:bottom w:w="80" w:type="dxa"/>
              <w:end w:w="120" w:type="dxa"/>
            </w:tcMar>
            <w:vAlign w:val="center"/>
          </w:tcPr>
          <w:p>
            <w:pPr>
              <w:spacing w:after="0"/>
            </w:pPr>
            <w:r>
              <w:rPr>
                <w:rFonts w:ascii="Calibri" w:hAnsi="Calibri"/>
                <w:sz w:val="19"/>
              </w:rPr>
              <w:t>Must</w:t>
            </w:r>
          </w:p>
        </w:tc>
      </w:tr>
      <w:tr>
        <w:tc>
          <w:tcPr>
            <w:tcW w:type="dxa" w:w="1100"/>
            <w:tcMar>
              <w:top w:w="80" w:type="dxa"/>
              <w:start w:w="120" w:type="dxa"/>
              <w:bottom w:w="80" w:type="dxa"/>
              <w:end w:w="120" w:type="dxa"/>
            </w:tcMar>
            <w:vAlign w:val="center"/>
          </w:tcPr>
          <w:p>
            <w:pPr>
              <w:spacing w:after="0"/>
            </w:pPr>
            <w:r>
              <w:rPr>
                <w:rFonts w:ascii="Calibri" w:hAnsi="Calibri"/>
                <w:sz w:val="19"/>
              </w:rPr>
              <w:t>EST-02</w:t>
            </w:r>
          </w:p>
        </w:tc>
        <w:tc>
          <w:tcPr>
            <w:tcW w:type="dxa" w:w="6900"/>
            <w:tcMar>
              <w:top w:w="80" w:type="dxa"/>
              <w:start w:w="120" w:type="dxa"/>
              <w:bottom w:w="80" w:type="dxa"/>
              <w:end w:w="120" w:type="dxa"/>
            </w:tcMar>
            <w:vAlign w:val="center"/>
          </w:tcPr>
          <w:p>
            <w:pPr>
              <w:spacing w:after="0"/>
            </w:pPr>
            <w:r>
              <w:rPr>
                <w:rFonts w:ascii="Calibri" w:hAnsi="Calibri"/>
                <w:sz w:val="19"/>
              </w:rPr>
              <w:t>Automate master-sheet pricing factors in a later phase.</w:t>
            </w:r>
          </w:p>
        </w:tc>
        <w:tc>
          <w:tcPr>
            <w:tcW w:type="dxa" w:w="1360"/>
            <w:tcMar>
              <w:top w:w="80" w:type="dxa"/>
              <w:start w:w="120" w:type="dxa"/>
              <w:bottom w:w="80" w:type="dxa"/>
              <w:end w:w="120" w:type="dxa"/>
            </w:tcMar>
            <w:vAlign w:val="center"/>
          </w:tcPr>
          <w:p>
            <w:pPr>
              <w:spacing w:after="0"/>
            </w:pPr>
            <w:r>
              <w:rPr>
                <w:rFonts w:ascii="Calibri" w:hAnsi="Calibri"/>
                <w:sz w:val="19"/>
              </w:rPr>
              <w:t>Should</w:t>
            </w:r>
          </w:p>
        </w:tc>
      </w:tr>
      <w:tr>
        <w:tc>
          <w:tcPr>
            <w:tcW w:type="dxa" w:w="1100"/>
            <w:shd w:fill="F2F4F7"/>
            <w:tcMar>
              <w:top w:w="80" w:type="dxa"/>
              <w:start w:w="120" w:type="dxa"/>
              <w:bottom w:w="80" w:type="dxa"/>
              <w:end w:w="120" w:type="dxa"/>
            </w:tcMar>
            <w:vAlign w:val="center"/>
          </w:tcPr>
          <w:p>
            <w:pPr>
              <w:spacing w:after="0"/>
            </w:pPr>
            <w:r>
              <w:rPr>
                <w:rFonts w:ascii="Calibri" w:hAnsi="Calibri"/>
                <w:sz w:val="19"/>
              </w:rPr>
              <w:t>SAL-01</w:t>
            </w:r>
          </w:p>
        </w:tc>
        <w:tc>
          <w:tcPr>
            <w:tcW w:type="dxa" w:w="6900"/>
            <w:shd w:fill="F2F4F7"/>
            <w:tcMar>
              <w:top w:w="80" w:type="dxa"/>
              <w:start w:w="120" w:type="dxa"/>
              <w:bottom w:w="80" w:type="dxa"/>
              <w:end w:w="120" w:type="dxa"/>
            </w:tcMar>
            <w:vAlign w:val="center"/>
          </w:tcPr>
          <w:p>
            <w:pPr>
              <w:spacing w:after="0"/>
            </w:pPr>
            <w:r>
              <w:rPr>
                <w:rFonts w:ascii="Calibri" w:hAnsi="Calibri"/>
                <w:sz w:val="19"/>
              </w:rPr>
              <w:t>Support quotation breakdown, payment schedule, revisions and conversion to sales order.</w:t>
            </w:r>
          </w:p>
        </w:tc>
        <w:tc>
          <w:tcPr>
            <w:tcW w:type="dxa" w:w="1360"/>
            <w:shd w:fill="F2F4F7"/>
            <w:tcMar>
              <w:top w:w="80" w:type="dxa"/>
              <w:start w:w="120" w:type="dxa"/>
              <w:bottom w:w="80" w:type="dxa"/>
              <w:end w:w="120" w:type="dxa"/>
            </w:tcMar>
            <w:vAlign w:val="center"/>
          </w:tcPr>
          <w:p>
            <w:pPr>
              <w:spacing w:after="0"/>
            </w:pPr>
            <w:r>
              <w:rPr>
                <w:rFonts w:ascii="Calibri" w:hAnsi="Calibri"/>
                <w:sz w:val="19"/>
              </w:rPr>
              <w:t>Must</w:t>
            </w:r>
          </w:p>
        </w:tc>
      </w:tr>
      <w:tr>
        <w:tc>
          <w:tcPr>
            <w:tcW w:type="dxa" w:w="1100"/>
            <w:tcMar>
              <w:top w:w="80" w:type="dxa"/>
              <w:start w:w="120" w:type="dxa"/>
              <w:bottom w:w="80" w:type="dxa"/>
              <w:end w:w="120" w:type="dxa"/>
            </w:tcMar>
            <w:vAlign w:val="center"/>
          </w:tcPr>
          <w:p>
            <w:pPr>
              <w:spacing w:after="0"/>
            </w:pPr>
            <w:r>
              <w:rPr>
                <w:rFonts w:ascii="Calibri" w:hAnsi="Calibri"/>
                <w:sz w:val="19"/>
              </w:rPr>
              <w:t>CON-01</w:t>
            </w:r>
          </w:p>
        </w:tc>
        <w:tc>
          <w:tcPr>
            <w:tcW w:type="dxa" w:w="6900"/>
            <w:tcMar>
              <w:top w:w="80" w:type="dxa"/>
              <w:start w:w="120" w:type="dxa"/>
              <w:bottom w:w="80" w:type="dxa"/>
              <w:end w:w="120" w:type="dxa"/>
            </w:tcMar>
            <w:vAlign w:val="center"/>
          </w:tcPr>
          <w:p>
            <w:pPr>
              <w:spacing w:after="0"/>
            </w:pPr>
            <w:r>
              <w:rPr>
                <w:rFonts w:ascii="Calibri" w:hAnsi="Calibri"/>
                <w:sz w:val="19"/>
              </w:rPr>
              <w:t>Manage draft, negotiation, signature order, final contract and registration.</w:t>
            </w:r>
          </w:p>
        </w:tc>
        <w:tc>
          <w:tcPr>
            <w:tcW w:type="dxa" w:w="1360"/>
            <w:tcMar>
              <w:top w:w="80" w:type="dxa"/>
              <w:start w:w="120" w:type="dxa"/>
              <w:bottom w:w="80" w:type="dxa"/>
              <w:end w:w="120" w:type="dxa"/>
            </w:tcMar>
            <w:vAlign w:val="center"/>
          </w:tcPr>
          <w:p>
            <w:pPr>
              <w:spacing w:after="0"/>
            </w:pPr>
            <w:r>
              <w:rPr>
                <w:rFonts w:ascii="Calibri" w:hAnsi="Calibri"/>
                <w:sz w:val="19"/>
              </w:rPr>
              <w:t>Must</w:t>
            </w:r>
          </w:p>
        </w:tc>
      </w:tr>
      <w:tr>
        <w:tc>
          <w:tcPr>
            <w:tcW w:type="dxa" w:w="1100"/>
            <w:shd w:fill="F2F4F7"/>
            <w:tcMar>
              <w:top w:w="80" w:type="dxa"/>
              <w:start w:w="120" w:type="dxa"/>
              <w:bottom w:w="80" w:type="dxa"/>
              <w:end w:w="120" w:type="dxa"/>
            </w:tcMar>
            <w:vAlign w:val="center"/>
          </w:tcPr>
          <w:p>
            <w:pPr>
              <w:spacing w:after="0"/>
            </w:pPr>
            <w:r>
              <w:rPr>
                <w:rFonts w:ascii="Calibri" w:hAnsi="Calibri"/>
                <w:sz w:val="19"/>
              </w:rPr>
              <w:t>PM-01</w:t>
            </w:r>
          </w:p>
        </w:tc>
        <w:tc>
          <w:tcPr>
            <w:tcW w:type="dxa" w:w="6900"/>
            <w:shd w:fill="F2F4F7"/>
            <w:tcMar>
              <w:top w:w="80" w:type="dxa"/>
              <w:start w:w="120" w:type="dxa"/>
              <w:bottom w:w="80" w:type="dxa"/>
              <w:end w:w="120" w:type="dxa"/>
            </w:tcMar>
            <w:vAlign w:val="center"/>
          </w:tcPr>
          <w:p>
            <w:pPr>
              <w:spacing w:after="0"/>
            </w:pPr>
            <w:r>
              <w:rPr>
                <w:rFonts w:ascii="Calibri" w:hAnsi="Calibri"/>
                <w:sz w:val="19"/>
              </w:rPr>
              <w:t>Trigger first-payment tracking, project handover, notifications and kickoff.</w:t>
            </w:r>
          </w:p>
        </w:tc>
        <w:tc>
          <w:tcPr>
            <w:tcW w:type="dxa" w:w="1360"/>
            <w:shd w:fill="F2F4F7"/>
            <w:tcMar>
              <w:top w:w="80" w:type="dxa"/>
              <w:start w:w="120" w:type="dxa"/>
              <w:bottom w:w="80" w:type="dxa"/>
              <w:end w:w="120" w:type="dxa"/>
            </w:tcMar>
            <w:vAlign w:val="center"/>
          </w:tcPr>
          <w:p>
            <w:pPr>
              <w:spacing w:after="0"/>
            </w:pPr>
            <w:r>
              <w:rPr>
                <w:rFonts w:ascii="Calibri" w:hAnsi="Calibri"/>
                <w:sz w:val="19"/>
              </w:rPr>
              <w:t>Must</w:t>
            </w:r>
          </w:p>
        </w:tc>
      </w:tr>
      <w:tr>
        <w:tc>
          <w:tcPr>
            <w:tcW w:type="dxa" w:w="1100"/>
            <w:tcMar>
              <w:top w:w="80" w:type="dxa"/>
              <w:start w:w="120" w:type="dxa"/>
              <w:bottom w:w="80" w:type="dxa"/>
              <w:end w:w="120" w:type="dxa"/>
            </w:tcMar>
            <w:vAlign w:val="center"/>
          </w:tcPr>
          <w:p>
            <w:pPr>
              <w:spacing w:after="0"/>
            </w:pPr>
            <w:r>
              <w:rPr>
                <w:rFonts w:ascii="Calibri" w:hAnsi="Calibri"/>
                <w:sz w:val="19"/>
              </w:rPr>
              <w:t>CX-01</w:t>
            </w:r>
          </w:p>
        </w:tc>
        <w:tc>
          <w:tcPr>
            <w:tcW w:type="dxa" w:w="6900"/>
            <w:tcMar>
              <w:top w:w="80" w:type="dxa"/>
              <w:start w:w="120" w:type="dxa"/>
              <w:bottom w:w="80" w:type="dxa"/>
              <w:end w:w="120" w:type="dxa"/>
            </w:tcMar>
            <w:vAlign w:val="center"/>
          </w:tcPr>
          <w:p>
            <w:pPr>
              <w:spacing w:after="0"/>
            </w:pPr>
            <w:r>
              <w:rPr>
                <w:rFonts w:ascii="Calibri" w:hAnsi="Calibri"/>
                <w:sz w:val="19"/>
              </w:rPr>
              <w:t>Send periodic client evaluations and escalate low ratings.</w:t>
            </w:r>
          </w:p>
        </w:tc>
        <w:tc>
          <w:tcPr>
            <w:tcW w:type="dxa" w:w="1360"/>
            <w:tcMar>
              <w:top w:w="80" w:type="dxa"/>
              <w:start w:w="120" w:type="dxa"/>
              <w:bottom w:w="80" w:type="dxa"/>
              <w:end w:w="120" w:type="dxa"/>
            </w:tcMar>
            <w:vAlign w:val="center"/>
          </w:tcPr>
          <w:p>
            <w:pPr>
              <w:spacing w:after="0"/>
            </w:pPr>
            <w:r>
              <w:rPr>
                <w:rFonts w:ascii="Calibri" w:hAnsi="Calibri"/>
                <w:sz w:val="19"/>
              </w:rPr>
              <w:t>Should</w:t>
            </w:r>
          </w:p>
        </w:tc>
      </w:tr>
      <w:tr>
        <w:tc>
          <w:tcPr>
            <w:tcW w:type="dxa" w:w="1100"/>
            <w:shd w:fill="F2F4F7"/>
            <w:tcMar>
              <w:top w:w="80" w:type="dxa"/>
              <w:start w:w="120" w:type="dxa"/>
              <w:bottom w:w="80" w:type="dxa"/>
              <w:end w:w="120" w:type="dxa"/>
            </w:tcMar>
            <w:vAlign w:val="center"/>
          </w:tcPr>
          <w:p>
            <w:pPr>
              <w:spacing w:after="0"/>
            </w:pPr>
            <w:r>
              <w:rPr>
                <w:rFonts w:ascii="Calibri" w:hAnsi="Calibri"/>
                <w:sz w:val="19"/>
              </w:rPr>
              <w:t>REP-01</w:t>
            </w:r>
          </w:p>
        </w:tc>
        <w:tc>
          <w:tcPr>
            <w:tcW w:type="dxa" w:w="6900"/>
            <w:shd w:fill="F2F4F7"/>
            <w:tcMar>
              <w:top w:w="80" w:type="dxa"/>
              <w:start w:w="120" w:type="dxa"/>
              <w:bottom w:w="80" w:type="dxa"/>
              <w:end w:w="120" w:type="dxa"/>
            </w:tcMar>
            <w:vAlign w:val="center"/>
          </w:tcPr>
          <w:p>
            <w:pPr>
              <w:spacing w:after="0"/>
            </w:pPr>
            <w:r>
              <w:rPr>
                <w:rFonts w:ascii="Calibri" w:hAnsi="Calibri"/>
                <w:sz w:val="19"/>
              </w:rPr>
              <w:t>Provide pipeline, commercial, risk, contract, handover and satisfaction reporting.</w:t>
            </w:r>
          </w:p>
        </w:tc>
        <w:tc>
          <w:tcPr>
            <w:tcW w:type="dxa" w:w="1360"/>
            <w:shd w:fill="F2F4F7"/>
            <w:tcMar>
              <w:top w:w="80" w:type="dxa"/>
              <w:start w:w="120" w:type="dxa"/>
              <w:bottom w:w="80" w:type="dxa"/>
              <w:end w:w="120" w:type="dxa"/>
            </w:tcMar>
            <w:vAlign w:val="center"/>
          </w:tcPr>
          <w:p>
            <w:pPr>
              <w:spacing w:after="0"/>
            </w:pPr>
            <w:r>
              <w:rPr>
                <w:rFonts w:ascii="Calibri" w:hAnsi="Calibri"/>
                <w:sz w:val="19"/>
              </w:rPr>
              <w:t>Must</w:t>
            </w:r>
          </w:p>
        </w:tc>
      </w:tr>
    </w:tbl>
    <w:p>
      <w:pPr>
        <w:spacing w:after="40"/>
      </w:pPr>
    </w:p>
    <w:p>
      <w:r>
        <w:br w:type="page"/>
      </w:r>
    </w:p>
    <w:p>
      <w:pPr>
        <w:pStyle w:val="Heading1"/>
      </w:pPr>
      <w:r>
        <w:t>18. Required Client Inputs and Open Decisions</w:t>
      </w:r>
    </w:p>
    <w:p>
      <w:pPr>
        <w:pStyle w:val="ListBullet"/>
      </w:pPr>
      <w:r>
        <w:t>Department and service master list, including hierarchy and responsible owners.</w:t>
      </w:r>
    </w:p>
    <w:p>
      <w:pPr>
        <w:pStyle w:val="ListBullet"/>
      </w:pPr>
      <w:r>
        <w:t>Excel field matrix showing field name, data type, department/service applicability and mandatory stage.</w:t>
      </w:r>
    </w:p>
    <w:p>
      <w:pPr>
        <w:pStyle w:val="ListBullet"/>
      </w:pPr>
      <w:r>
        <w:t>Risk categories, evaluation criteria, weights, approval levels and minimum go/no-go score.</w:t>
      </w:r>
    </w:p>
    <w:p>
      <w:pPr>
        <w:pStyle w:val="ListBullet"/>
      </w:pPr>
      <w:r>
        <w:t>Pricing master sheets, formulas, access permissions and approval workflow.</w:t>
      </w:r>
    </w:p>
    <w:p>
      <w:pPr>
        <w:pStyle w:val="ListBullet"/>
      </w:pPr>
      <w:r>
        <w:t>Quotation breakdown formats and payment schedule templates.</w:t>
      </w:r>
    </w:p>
    <w:p>
      <w:pPr>
        <w:pStyle w:val="ListBullet"/>
      </w:pPr>
      <w:r>
        <w:t>Contract templates, draft watermark rules, numbering logic and required customer credentials.</w:t>
      </w:r>
    </w:p>
    <w:p>
      <w:pPr>
        <w:pStyle w:val="ListBullet"/>
      </w:pPr>
      <w:r>
        <w:t>Project handover checklist, notification recipients and project-creation rules.</w:t>
      </w:r>
    </w:p>
    <w:p>
      <w:pPr>
        <w:pStyle w:val="ListBullet"/>
      </w:pPr>
      <w:r>
        <w:t>Client evaluation questionnaire, frequency, recipients and escalation thresholds.</w:t>
      </w:r>
    </w:p>
    <w:p>
      <w:pPr>
        <w:pStyle w:val="ListBullet"/>
      </w:pPr>
      <w:r>
        <w:t>Access requirements for site employees, studio employees and external users.</w:t>
      </w:r>
    </w:p>
    <w:p>
      <w:pPr>
        <w:pStyle w:val="Heading1"/>
      </w:pPr>
      <w:r>
        <w:t>19. Recommended Implementation Sequence</w:t>
      </w:r>
    </w:p>
    <w:p>
      <w:pPr>
        <w:spacing w:after="160" w:line="280" w:lineRule="auto"/>
        <w:numPr>
          <w:ilvl w:val="0"/>
          <w:numId w:val="13"/>
        </w:numPr>
      </w:pPr>
      <w:r>
        <w:t>Confirm service hierarchy and the department-specific field matrix.</w:t>
      </w:r>
    </w:p>
    <w:p>
      <w:pPr>
        <w:spacing w:after="160" w:line="280" w:lineRule="auto"/>
        <w:numPr>
          <w:ilvl w:val="0"/>
          <w:numId w:val="13"/>
        </w:numPr>
      </w:pPr>
      <w:r>
        <w:t>Configure the CRM pipeline, stage gates, dynamic forms and risk register.</w:t>
      </w:r>
    </w:p>
    <w:p>
      <w:pPr>
        <w:spacing w:after="160" w:line="280" w:lineRule="auto"/>
        <w:numPr>
          <w:ilvl w:val="0"/>
          <w:numId w:val="13"/>
        </w:numPr>
      </w:pPr>
      <w:r>
        <w:t>Enable email/chatter integration and reporting basics.</w:t>
      </w:r>
    </w:p>
    <w:p>
      <w:pPr>
        <w:spacing w:after="160" w:line="280" w:lineRule="auto"/>
        <w:numPr>
          <w:ilvl w:val="0"/>
          <w:numId w:val="13"/>
        </w:numPr>
      </w:pPr>
      <w:r>
        <w:t>Configure financial-estimation storage, approvals and quotation formats.</w:t>
      </w:r>
    </w:p>
    <w:p>
      <w:pPr>
        <w:spacing w:after="160" w:line="280" w:lineRule="auto"/>
        <w:numPr>
          <w:ilvl w:val="0"/>
          <w:numId w:val="13"/>
        </w:numPr>
      </w:pPr>
      <w:r>
        <w:t>Implement contract workflow, signature sequence and project handover.</w:t>
      </w:r>
    </w:p>
    <w:p>
      <w:pPr>
        <w:spacing w:after="160" w:line="280" w:lineRule="auto"/>
        <w:numPr>
          <w:ilvl w:val="0"/>
          <w:numId w:val="13"/>
        </w:numPr>
      </w:pPr>
      <w:r>
        <w:t>Add periodic client feedback and management escalations.</w:t>
      </w:r>
    </w:p>
    <w:p>
      <w:pPr>
        <w:spacing w:after="160" w:line="280" w:lineRule="auto"/>
        <w:numPr>
          <w:ilvl w:val="0"/>
          <w:numId w:val="13"/>
        </w:numPr>
      </w:pPr>
      <w:r>
        <w:t>Automate pricing formulas after the master calculation logic is validated.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6"/>
      </w:rPr>
      <w:t>Business Requirements Document | Prepared from discovery workshop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7"/>
      </w:rPr>
      <w:t>PETRORAQ | CRM BUSINESS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abstractNum w:abstractNumId="12">
    <w:multiLevelType w:val="singleLevel"/>
    <w:lvl w:ilvl="0">
      <w:start w:val="1"/>
      <w:numFmt w:val="decimal"/>
      <w:lvlText w:val="%1."/>
      <w:suff w:val="tab"/>
      <w:pPr>
        <w:tabs>
          <w:tab w:val="num" w:pos="720"/>
        </w:tabs>
        <w:ind w:left="72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Sales, Contract and Project Handover Workflow</dc:title>
  <dc:subject>Consolidated Business Requirements</dc:subject>
  <dc:creator>PETRORAQ</dc:creator>
  <cp:keywords>CRM, Odoo, Sales, Contracts, Project Handover, Business Requirements</cp:keywords>
  <dc:description>generated by python-docx</dc:description>
  <cp:lastModifiedBy/>
  <cp:revision>1</cp:revision>
  <dcterms:created xsi:type="dcterms:W3CDTF">2013-12-23T23:15:00Z</dcterms:created>
  <dcterms:modified xsi:type="dcterms:W3CDTF">2013-12-23T23:15:00Z</dcterms:modified>
  <cp:category/>
</cp:coreProperties>
</file>