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курс.</w:t>
      </w:r>
      <w:r>
        <w:t xml:space="preserve"> </w:t>
      </w:r>
      <w:r>
        <w:t xml:space="preserve">Блок</w:t>
      </w:r>
      <w:r>
        <w:t xml:space="preserve"> </w:t>
      </w:r>
      <w:r>
        <w:t xml:space="preserve">2:</w:t>
      </w:r>
      <w:r>
        <w:t xml:space="preserve"> </w:t>
      </w:r>
      <w:r>
        <w:t xml:space="preserve">Защита</w:t>
      </w:r>
      <w:r>
        <w:t xml:space="preserve"> </w:t>
      </w:r>
      <w:r>
        <w:t xml:space="preserve">ПК/Телефона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Пройти второй блок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</w:p>
    <w:bookmarkEnd w:id="20"/>
    <w:bookmarkStart w:id="86" w:name="выполнение-блока-2-защита-пктелефон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блока 2: Защита ПК/Телефона</w:t>
      </w:r>
    </w:p>
    <w:bookmarkStart w:id="33" w:name="шифрование-дис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Шифрование диска</w:t>
      </w:r>
    </w:p>
    <w:p>
      <w:pPr>
        <w:pStyle w:val="FirstParagraph"/>
      </w:pPr>
      <w:r>
        <w:t xml:space="preserve">Шифрование диска — технология защиты информации, переводящая данные на диске в нечитаемый код, который нелегальный пользователь не сможет легко расшифровать. Соответственно, можно (рис. 1).</w:t>
      </w:r>
    </w:p>
    <w:p>
      <w:pPr>
        <w:pStyle w:val="CaptionedFigure"/>
      </w:pPr>
      <w:bookmarkStart w:id="24" w:name="fig:001"/>
      <w:r>
        <w:drawing>
          <wp:inline>
            <wp:extent cx="5334000" cy="3096721"/>
            <wp:effectExtent b="0" l="0" r="0" t="0"/>
            <wp:docPr descr="Вопрос 3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Вопрос 3.1.1</w:t>
      </w:r>
    </w:p>
    <w:p>
      <w:pPr>
        <w:pStyle w:val="BodyText"/>
      </w:pPr>
      <w:r>
        <w:t xml:space="preserve">Шифрование диска основано на симметричном шифровании (рис. 2).</w:t>
      </w:r>
    </w:p>
    <w:p>
      <w:pPr>
        <w:pStyle w:val="CaptionedFigure"/>
      </w:pPr>
      <w:bookmarkStart w:id="28" w:name="fig:002"/>
      <w:r>
        <w:drawing>
          <wp:inline>
            <wp:extent cx="5334000" cy="3026816"/>
            <wp:effectExtent b="0" l="0" r="0" t="0"/>
            <wp:docPr descr="Вопрос 3.1.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Вопрос 3.1.2</w:t>
      </w:r>
    </w:p>
    <w:p>
      <w:pPr>
        <w:pStyle w:val="BodyText"/>
      </w:pPr>
      <w:r>
        <w:t xml:space="preserve">Отмечены программы, с помощью которых можно зашифровать жесткий диск (рис. 3).</w:t>
      </w:r>
    </w:p>
    <w:p>
      <w:pPr>
        <w:pStyle w:val="CaptionedFigure"/>
      </w:pPr>
      <w:bookmarkStart w:id="32" w:name="fig:003"/>
      <w:r>
        <w:drawing>
          <wp:inline>
            <wp:extent cx="5334000" cy="3797957"/>
            <wp:effectExtent b="0" l="0" r="0" t="0"/>
            <wp:docPr descr="Вопрос 3.1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Вопрос 3.1.3</w:t>
      </w:r>
    </w:p>
    <w:bookmarkEnd w:id="33"/>
    <w:bookmarkStart w:id="58" w:name="паро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Пароли</w:t>
      </w:r>
    </w:p>
    <w:p>
      <w:pPr>
        <w:pStyle w:val="FirstParagraph"/>
      </w:pPr>
      <w:r>
        <w:t xml:space="preserve">Стойкий пароль - тот, который тяжелее подобрать, он должен быть со спец. символами и длинный (рис. 4).</w:t>
      </w:r>
    </w:p>
    <w:p>
      <w:pPr>
        <w:pStyle w:val="CaptionedFigure"/>
      </w:pPr>
      <w:bookmarkStart w:id="37" w:name="fig:004"/>
      <w:r>
        <w:drawing>
          <wp:inline>
            <wp:extent cx="5334000" cy="2966761"/>
            <wp:effectExtent b="0" l="0" r="0" t="0"/>
            <wp:docPr descr="Вопрос 3.2.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Вопрос 3.2.1</w:t>
      </w:r>
    </w:p>
    <w:p>
      <w:pPr>
        <w:pStyle w:val="BodyText"/>
      </w:pPr>
      <w:r>
        <w:t xml:space="preserve">Все варианты, кроме менеджера паролей, совершенно не надежные (рис. 5).</w:t>
      </w:r>
    </w:p>
    <w:p>
      <w:pPr>
        <w:pStyle w:val="CaptionedFigure"/>
      </w:pPr>
      <w:bookmarkStart w:id="41" w:name="fig:005"/>
      <w:r>
        <w:drawing>
          <wp:inline>
            <wp:extent cx="5334000" cy="3861330"/>
            <wp:effectExtent b="0" l="0" r="0" t="0"/>
            <wp:docPr descr="Вопрос 3.2.2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Вопрос 3.2.2</w:t>
      </w:r>
    </w:p>
    <w:p>
      <w:pPr>
        <w:pStyle w:val="BodyText"/>
      </w:pPr>
      <w:r>
        <w:t xml:space="preserve">Капча нужна для проверки на то, что за экраном</w:t>
      </w:r>
      <w:r>
        <w:t xml:space="preserve"> </w:t>
      </w:r>
      <w:r>
        <w:t xml:space="preserve">“</w:t>
      </w:r>
      <w:r>
        <w:t xml:space="preserve">не робот</w:t>
      </w:r>
      <w:r>
        <w:t xml:space="preserve">”</w:t>
      </w:r>
      <w:r>
        <w:t xml:space="preserve">(рис. 6).</w:t>
      </w:r>
    </w:p>
    <w:p>
      <w:pPr>
        <w:pStyle w:val="CaptionedFigure"/>
      </w:pPr>
      <w:bookmarkStart w:id="45" w:name="fig:006"/>
      <w:r>
        <w:drawing>
          <wp:inline>
            <wp:extent cx="5334000" cy="3053101"/>
            <wp:effectExtent b="0" l="0" r="0" t="0"/>
            <wp:docPr descr="Вопрос 3.2.3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Вопрос 3.2.3</w:t>
      </w:r>
    </w:p>
    <w:p>
      <w:pPr>
        <w:pStyle w:val="BodyText"/>
      </w:pPr>
      <w:r>
        <w:t xml:space="preserve">Опасно хранить пароли в открытом виде, поэтому хранят их хэши (рис. 7).</w:t>
      </w:r>
    </w:p>
    <w:p>
      <w:pPr>
        <w:pStyle w:val="CaptionedFigure"/>
      </w:pPr>
      <w:bookmarkStart w:id="49" w:name="fig:007"/>
      <w:r>
        <w:drawing>
          <wp:inline>
            <wp:extent cx="5334000" cy="3220188"/>
            <wp:effectExtent b="0" l="0" r="0" t="0"/>
            <wp:docPr descr="Вопрос 3.2.4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Вопрос 3.2.4</w:t>
      </w:r>
    </w:p>
    <w:p>
      <w:pPr>
        <w:pStyle w:val="BodyText"/>
      </w:pPr>
      <w:r>
        <w:t xml:space="preserve">Соль не поможет (рис. 8).</w:t>
      </w:r>
    </w:p>
    <w:p>
      <w:pPr>
        <w:pStyle w:val="CaptionedFigure"/>
      </w:pPr>
      <w:bookmarkStart w:id="53" w:name="fig:008"/>
      <w:r>
        <w:drawing>
          <wp:inline>
            <wp:extent cx="5334000" cy="2640753"/>
            <wp:effectExtent b="0" l="0" r="0" t="0"/>
            <wp:docPr descr="Вопрос 3.2.5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Вопрос 3.2.5</w:t>
      </w:r>
    </w:p>
    <w:p>
      <w:pPr>
        <w:pStyle w:val="BodyText"/>
      </w:pPr>
      <w:r>
        <w:t xml:space="preserve">Все приведенные меры защищают от утечек данных (рис. 9).</w:t>
      </w:r>
    </w:p>
    <w:p>
      <w:pPr>
        <w:pStyle w:val="CaptionedFigure"/>
      </w:pPr>
      <w:bookmarkStart w:id="57" w:name="fig:009"/>
      <w:r>
        <w:drawing>
          <wp:inline>
            <wp:extent cx="5334000" cy="3435165"/>
            <wp:effectExtent b="0" l="0" r="0" t="0"/>
            <wp:docPr descr="Вопрос 3.2.6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Вопрос 3.2.6</w:t>
      </w:r>
    </w:p>
    <w:bookmarkEnd w:id="58"/>
    <w:bookmarkStart w:id="67" w:name="фишинг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Фишинг</w:t>
      </w:r>
    </w:p>
    <w:p>
      <w:pPr>
        <w:pStyle w:val="FirstParagraph"/>
      </w:pPr>
      <w:r>
        <w:t xml:space="preserve">Фишинговые ссылки очень похожи на ссылки известных сервисов, но с некоторыми отличиями (рис. 10).</w:t>
      </w:r>
    </w:p>
    <w:p>
      <w:pPr>
        <w:pStyle w:val="CaptionedFigure"/>
      </w:pPr>
      <w:bookmarkStart w:id="62" w:name="fig:010"/>
      <w:r>
        <w:drawing>
          <wp:inline>
            <wp:extent cx="5334000" cy="3023611"/>
            <wp:effectExtent b="0" l="0" r="0" t="0"/>
            <wp:docPr descr="Вопрос 3.3.1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Вопрос 3.3.1</w:t>
      </w:r>
    </w:p>
    <w:p>
      <w:pPr>
        <w:pStyle w:val="BodyText"/>
      </w:pPr>
      <w:r>
        <w:t xml:space="preserve">Да, может, например, если пользователя со знакомым адресом взломали (рис. 11).</w:t>
      </w:r>
    </w:p>
    <w:p>
      <w:pPr>
        <w:pStyle w:val="CaptionedFigure"/>
      </w:pPr>
      <w:bookmarkStart w:id="66" w:name="fig:011"/>
      <w:r>
        <w:drawing>
          <wp:inline>
            <wp:extent cx="5334000" cy="3161782"/>
            <wp:effectExtent b="0" l="0" r="0" t="0"/>
            <wp:docPr descr="Вопрос 3.3.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Вопрос 3.3.2</w:t>
      </w:r>
    </w:p>
    <w:bookmarkEnd w:id="67"/>
    <w:bookmarkStart w:id="76" w:name="вирусы.-пример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Вирусы. Примеры</w:t>
      </w:r>
    </w:p>
    <w:p>
      <w:pPr>
        <w:pStyle w:val="FirstParagraph"/>
      </w:pPr>
      <w:r>
        <w:t xml:space="preserve">Ответ дан в соответствии с определением (рис. 12).</w:t>
      </w:r>
    </w:p>
    <w:p>
      <w:pPr>
        <w:pStyle w:val="CaptionedFigure"/>
      </w:pPr>
      <w:bookmarkStart w:id="71" w:name="fig:012"/>
      <w:r>
        <w:drawing>
          <wp:inline>
            <wp:extent cx="5334000" cy="3374754"/>
            <wp:effectExtent b="0" l="0" r="0" t="0"/>
            <wp:docPr descr="Вопрос 3.4.1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Вопрос 3.4.1</w:t>
      </w:r>
    </w:p>
    <w:p>
      <w:pPr>
        <w:pStyle w:val="BodyText"/>
      </w:pPr>
      <w:r>
        <w:t xml:space="preserve">Трояны маскируются под обычную программу (рис. 13).</w:t>
      </w:r>
    </w:p>
    <w:p>
      <w:pPr>
        <w:pStyle w:val="CaptionedFigure"/>
      </w:pPr>
      <w:bookmarkStart w:id="75" w:name="fig:013"/>
      <w:r>
        <w:drawing>
          <wp:inline>
            <wp:extent cx="5334000" cy="3382305"/>
            <wp:effectExtent b="0" l="0" r="0" t="0"/>
            <wp:docPr descr="Вопрос 3.4.2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Вопрос 3.4.2</w:t>
      </w:r>
    </w:p>
    <w:bookmarkEnd w:id="76"/>
    <w:bookmarkStart w:id="85" w:name="безопасность-мессенджеров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Безопасность мессенджеров</w:t>
      </w:r>
    </w:p>
    <w:p>
      <w:pPr>
        <w:pStyle w:val="FirstParagraph"/>
      </w:pPr>
      <w:r>
        <w:t xml:space="preserve">При установке первого сообщения отправителем формируется ключ шифрования (рис. 14).</w:t>
      </w:r>
    </w:p>
    <w:p>
      <w:pPr>
        <w:pStyle w:val="CaptionedFigure"/>
      </w:pPr>
      <w:bookmarkStart w:id="80" w:name="fig:014"/>
      <w:r>
        <w:drawing>
          <wp:inline>
            <wp:extent cx="5334000" cy="4121975"/>
            <wp:effectExtent b="0" l="0" r="0" t="0"/>
            <wp:docPr descr="Вопрос 3.5.1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Вопрос 3.5.1</w:t>
      </w:r>
    </w:p>
    <w:p>
      <w:pPr>
        <w:pStyle w:val="BodyText"/>
      </w:pPr>
      <w:r>
        <w:t xml:space="preserve">Суть сквозного шифрования состоит в том, что сообщения передаются по узлам связи в зашифрованном виде (рис. 15).</w:t>
      </w:r>
    </w:p>
    <w:p>
      <w:pPr>
        <w:pStyle w:val="CaptionedFigure"/>
      </w:pPr>
      <w:bookmarkStart w:id="84" w:name="fig:015"/>
      <w:r>
        <w:drawing>
          <wp:inline>
            <wp:extent cx="5334000" cy="2728310"/>
            <wp:effectExtent b="0" l="0" r="0" t="0"/>
            <wp:docPr descr="Вопрос 3.5.2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Вопрос 3.5.2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пройден второй блок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  <w:r>
        <w:t xml:space="preserve">, изучены правила хранения паролей и основная информация о вирусах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2: Защита ПК/Телефона</dc:title>
  <dc:creator>Петрова Алевтина Александровна</dc:creator>
  <dc:language>ru-RU</dc:language>
  <cp:keywords/>
  <dcterms:created xsi:type="dcterms:W3CDTF">2025-05-15T19:45:04Z</dcterms:created>
  <dcterms:modified xsi:type="dcterms:W3CDTF">2025-05-15T19:45:04Z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