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</w:t>
      </w:r>
      <w:r>
        <w:rPr>
          <w:bCs/>
          <w:b/>
        </w:rPr>
        <w:t xml:space="preserve">tbl:std-dir?</w:t>
      </w:r>
      <w:r>
        <w:t xml:space="preserve">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2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fig:001?</w:t>
      </w:r>
      <w:r>
        <w:t xml:space="preserve">]</w:t>
      </w:r>
      <w:r>
        <w:t xml:space="preserve">).</w:t>
      </w:r>
    </w:p>
    <w:p>
      <w:pPr>
        <w:pStyle w:val="CaptionedFigure"/>
      </w:pPr>
      <w:bookmarkStart w:id="26" w:name="fig:001"/>
      <w:r>
        <w:drawing>
          <wp:inline>
            <wp:extent cx="5334000" cy="4000499"/>
            <wp:effectExtent b="0" l="0" r="0" t="0"/>
            <wp:docPr descr="Название рисунка" title="" id="24" name="Picture"/>
            <a:graphic>
              <a:graphicData uri="http://schemas.openxmlformats.org/drawingml/2006/picture">
                <pic:pic>
                  <pic:nvPicPr>
                    <pic:cNvPr descr="image/placeimg_800_600_tech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2024-03-16T15:53:29Z</dcterms:created>
  <dcterms:modified xsi:type="dcterms:W3CDTF">2024-03-16T15:53:29Z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