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3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3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Петрушов Дмитрий, 1032212287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4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Compact"/>
      </w:pPr>
      <w:r>
        <w:t xml:space="preserve"> </w:t>
      </w:r>
      <w:r>
        <w:t xml:space="preserve"># keep figures where there are in the text</w:t>
      </w:r>
      <w:r>
        <w:t xml:space="preserve"> </w:t>
      </w:r>
      <w:r>
        <w:t xml:space="preserve">—# 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4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41" w:name="циклы-while-и-for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Циклы while и for</w:t>
      </w:r>
    </w:p>
    <w:p>
      <w:pPr>
        <w:pStyle w:val="FirstParagraph"/>
      </w:pPr>
      <w:r>
        <w:t xml:space="preserve">Для различных операций, связанных с перебором индексируемых элементов структур</w:t>
      </w:r>
      <w:r>
        <w:t xml:space="preserve"> </w:t>
      </w:r>
      <w:r>
        <w:t xml:space="preserve">данных, традиционно используются циклы while и for.</w:t>
      </w:r>
    </w:p>
    <w:p>
      <w:pPr>
        <w:pStyle w:val="BodyText"/>
      </w:pPr>
      <w:r>
        <w:t xml:space="preserve">Синтаксис while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тело цикла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Примеры использования цикла while (рис. [??] - рис. [??]):</w:t>
      </w:r>
    </w:p>
    <w:p>
      <w:pPr>
        <w:pStyle w:val="BodyText"/>
      </w:pPr>
      <w:bookmarkStart w:id="28" w:name="fig:001"/>
      <w:r>
        <w:drawing>
          <wp:inline>
            <wp:extent cx="5334000" cy="3036584"/>
            <wp:effectExtent b="0" l="0" r="0" t="0"/>
            <wp:docPr descr="Примеры использования цикла while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2"/>
      <w:r>
        <w:drawing>
          <wp:inline>
            <wp:extent cx="5334000" cy="1914373"/>
            <wp:effectExtent b="0" l="0" r="0" t="0"/>
            <wp:docPr descr="Примеры использования цикла while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Такие же результаты можно получить при использовании цикла for.</w:t>
      </w:r>
    </w:p>
    <w:p>
      <w:pPr>
        <w:pStyle w:val="BodyText"/>
      </w:pPr>
      <w:r>
        <w:t xml:space="preserve">Синтаксис for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переменная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диапазон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тело цикла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Примеры использования цикла for (рис. [</w:t>
      </w:r>
      <w:hyperlink w:anchor="fig:003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2904739"/>
            <wp:effectExtent b="0" l="0" r="0" t="0"/>
            <wp:docPr descr="Figure 1: Примеры использования цикла for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1: Примеры использования цикла for</w:t>
      </w:r>
    </w:p>
    <w:bookmarkEnd w:id="0"/>
    <w:p>
      <w:pPr>
        <w:pStyle w:val="BodyText"/>
      </w:pPr>
      <w:r>
        <w:t xml:space="preserve">Пример использования цикла for для создания двумерного массива, в котором значение каждой записи</w:t>
      </w:r>
      <w:r>
        <w:t xml:space="preserve"> </w:t>
      </w:r>
      <w:r>
        <w:t xml:space="preserve">является суммой индексов строки и столбца (рис. [</w:t>
      </w:r>
      <w:hyperlink w:anchor="fig:004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3738605"/>
            <wp:effectExtent b="0" l="0" r="0" t="0"/>
            <wp:docPr descr="Figure 2: Пример использования цикла for для создания двумерного массив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2: Пример использования цикла for для создания двумерного массива</w:t>
      </w:r>
    </w:p>
    <w:bookmarkEnd w:id="0"/>
    <w:bookmarkEnd w:id="41"/>
    <w:bookmarkStart w:id="50" w:name="условные-выраже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Условные выражения</w:t>
      </w:r>
    </w:p>
    <w:p>
      <w:pPr>
        <w:pStyle w:val="FirstParagraph"/>
      </w:pPr>
      <w:r>
        <w:t xml:space="preserve">Довольно часто при решении задач требуется проверить выполнение тех или иных</w:t>
      </w:r>
      <w:r>
        <w:t xml:space="preserve"> </w:t>
      </w:r>
      <w:r>
        <w:t xml:space="preserve">условий. Для этого используют условные выражения.</w:t>
      </w:r>
    </w:p>
    <w:p>
      <w:pPr>
        <w:pStyle w:val="BodyText"/>
      </w:pPr>
      <w:r>
        <w:t xml:space="preserve">Синтаксис условных выражений с ключевым словом: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условие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действие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&gt;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Примеры использования условного выражения (рис. [??]):</w:t>
      </w:r>
    </w:p>
    <w:p>
      <w:pPr>
        <w:pStyle w:val="BodyText"/>
      </w:pPr>
      <w:bookmarkStart w:id="45" w:name="fig:005"/>
      <w:r>
        <w:drawing>
          <wp:inline>
            <wp:extent cx="5334000" cy="2500312"/>
            <wp:effectExtent b="0" l="0" r="0" t="0"/>
            <wp:docPr descr="Примеры использования условного выражения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Примеры использования условного выражения (рис. [</w:t>
      </w:r>
      <w:hyperlink w:anchor="fig:006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1402422"/>
            <wp:effectExtent b="0" l="0" r="0" t="0"/>
            <wp:docPr descr="Figure 3: Примеры использования условного выражения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3: Примеры использования условного выражения</w:t>
      </w:r>
    </w:p>
    <w:bookmarkEnd w:id="0"/>
    <w:bookmarkEnd w:id="50"/>
    <w:bookmarkStart w:id="67" w:name="функци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Функции</w:t>
      </w:r>
    </w:p>
    <w:p>
      <w:pPr>
        <w:pStyle w:val="FirstParagraph"/>
      </w:pPr>
      <w:r>
        <w:t xml:space="preserve">Julia дает нам несколько разных способов написать функцию.</w:t>
      </w:r>
    </w:p>
    <w:p>
      <w:pPr>
        <w:pStyle w:val="BodyText"/>
      </w:pPr>
      <w:r>
        <w:t xml:space="preserve">Примеры способов написания функции (рис. [</w:t>
      </w:r>
      <w:hyperlink w:anchor="fig:007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1791268"/>
            <wp:effectExtent b="0" l="0" r="0" t="0"/>
            <wp:docPr descr="Figure 4: Примеры способов написания функции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4: Примеры способов написания функции</w:t>
      </w:r>
    </w:p>
    <w:bookmarkEnd w:id="0"/>
    <w:p>
      <w:pPr>
        <w:pStyle w:val="BodyText"/>
      </w:pPr>
      <w:r>
        <w:t xml:space="preserve">По соглашению в Julia функции, сопровождаемые восклицательным знаком, изменяют</w:t>
      </w:r>
      <w:r>
        <w:t xml:space="preserve"> </w:t>
      </w:r>
      <w:r>
        <w:t xml:space="preserve">свое содержимое, а функции без восклицательного знака не делают этого (рис. [</w:t>
      </w:r>
      <w:hyperlink w:anchor="fig:008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3381000"/>
            <wp:effectExtent b="0" l="0" r="0" t="0"/>
            <wp:docPr descr="Figure 5: Сравнение результатов вывода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5: Сравнение результатов вывода</w:t>
      </w:r>
    </w:p>
    <w:bookmarkEnd w:id="0"/>
    <w:p>
      <w:pPr>
        <w:pStyle w:val="BodyText"/>
      </w:pPr>
      <w:r>
        <w:t xml:space="preserve">(рис. [</w:t>
      </w:r>
      <w:hyperlink w:anchor="fig:009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1265878"/>
            <wp:effectExtent b="0" l="0" r="0" t="0"/>
            <wp:docPr descr="Figure 6: Сравнение результатов вывод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6: Сравнение результатов вывода</w:t>
      </w:r>
    </w:p>
    <w:bookmarkEnd w:id="0"/>
    <w:p>
      <w:pPr>
        <w:pStyle w:val="BodyText"/>
      </w:pPr>
      <w:r>
        <w:t xml:space="preserve">В Julia функция map является функцией высшего порядка, которая принимает функцию</w:t>
      </w:r>
      <w:r>
        <w:t xml:space="preserve"> </w:t>
      </w:r>
      <w:r>
        <w:t xml:space="preserve">в качестве одного из своих входных аргументов и применяет эту функцию к каждому</w:t>
      </w:r>
      <w:r>
        <w:t xml:space="preserve"> </w:t>
      </w:r>
      <w:r>
        <w:t xml:space="preserve">элементу структуры данных, которая ей передаётся также в качестве аргумента.</w:t>
      </w:r>
    </w:p>
    <w:p>
      <w:pPr>
        <w:pStyle w:val="BodyText"/>
      </w:pPr>
      <w:r>
        <w:t xml:space="preserve">Функция broadcast — ещё одна функция высшего порядка в Julia, представляющая собой обобщение</w:t>
      </w:r>
      <w:r>
        <w:t xml:space="preserve"> </w:t>
      </w:r>
      <w:r>
        <w:t xml:space="preserve">функции map.Функция broadcast() будет пытаться привести все объекты</w:t>
      </w:r>
      <w:r>
        <w:t xml:space="preserve"> </w:t>
      </w:r>
      <w:r>
        <w:t xml:space="preserve">к общему измерению, map() будет напрямую применять данную функцию поэлементно.</w:t>
      </w:r>
    </w:p>
    <w:p>
      <w:pPr>
        <w:pStyle w:val="BodyText"/>
      </w:pPr>
      <w:r>
        <w:t xml:space="preserve">Примеры использования функций map() и broadcast() (рис. [</w:t>
      </w:r>
      <w:hyperlink w:anchor="fig:010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4229100" cy="1790700"/>
            <wp:effectExtent b="0" l="0" r="0" t="0"/>
            <wp:docPr descr="Figure 7: Примеры использования функций map() и broadcast()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7: Примеры использования функций map() и broadcast()</w:t>
      </w:r>
    </w:p>
    <w:bookmarkEnd w:id="0"/>
    <w:bookmarkEnd w:id="67"/>
    <w:bookmarkStart w:id="68" w:name="сторонние-библиотеки-пакеты-в-julia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Сторонние библиотеки (пакеты) в Julia</w:t>
      </w:r>
    </w:p>
    <w:p>
      <w:pPr>
        <w:pStyle w:val="FirstParagraph"/>
      </w:pPr>
      <w:r>
        <w:t xml:space="preserve">Julia имеет более 2000 зарегистрированных пакетов, что делает их огромной частью</w:t>
      </w:r>
      <w:r>
        <w:t xml:space="preserve"> </w:t>
      </w:r>
      <w:r>
        <w:t xml:space="preserve">экосистемы Julia. Есть вызовы функций первого класса для других языков, обеспечивающие интерфейсы сторонних функций. Можно вызвать функции из Python или R,</w:t>
      </w:r>
      <w:r>
        <w:t xml:space="preserve"> </w:t>
      </w:r>
      <w:r>
        <w:t xml:space="preserve">например, с помощью PyCall или Rcall.</w:t>
      </w:r>
    </w:p>
    <w:p>
      <w:pPr>
        <w:pStyle w:val="BodyText"/>
      </w:pPr>
      <w:r>
        <w:t xml:space="preserve">С перечнем доступных в Julia пакетов можно ознакомиться на страницах следующих</w:t>
      </w:r>
      <w:r>
        <w:t xml:space="preserve"> </w:t>
      </w:r>
      <w:r>
        <w:t xml:space="preserve">ресурсов:</w:t>
      </w:r>
      <w:r>
        <w:t xml:space="preserve"> </w:t>
      </w:r>
      <w:r>
        <w:t xml:space="preserve">- https://julialang.org/packages/</w:t>
      </w:r>
      <w:r>
        <w:t xml:space="preserve"> </w:t>
      </w:r>
      <w:r>
        <w:t xml:space="preserve">- https://juliahub.com/ui/Home</w:t>
      </w:r>
      <w:r>
        <w:t xml:space="preserve"> </w:t>
      </w:r>
      <w:r>
        <w:t xml:space="preserve">- https://juliaobserver.com/</w:t>
      </w:r>
      <w:r>
        <w:t xml:space="preserve"> </w:t>
      </w:r>
      <w:r>
        <w:t xml:space="preserve">- https://github.com/svaksha/Julia.jl</w:t>
      </w:r>
    </w:p>
    <w:p>
      <w:pPr>
        <w:pStyle w:val="BodyText"/>
      </w:pPr>
      <w:r>
        <w:t xml:space="preserve">При первом использовании пакета в вашей текущей установке Julia вам необходимо</w:t>
      </w:r>
      <w:r>
        <w:t xml:space="preserve"> </w:t>
      </w:r>
      <w:r>
        <w:t xml:space="preserve">использовать менеджер пакетов, чтобы явно его добавить: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Pkg</w:t>
      </w:r>
      <w:r>
        <w:br/>
      </w:r>
      <w:r>
        <w:rPr>
          <w:rStyle w:val="BuiltInTok"/>
        </w:rPr>
        <w:t xml:space="preserve">Pkg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При каждом новом использовании Julia (например, в начале нового сеанса в REPL</w:t>
      </w:r>
      <w:r>
        <w:t xml:space="preserve"> </w:t>
      </w:r>
      <w:r>
        <w:t xml:space="preserve">или открытии блокнота в первый раз) нужно загрузить пакет, используя ключевое слово</w:t>
      </w:r>
      <w:r>
        <w:t xml:space="preserve"> </w:t>
      </w:r>
      <w:r>
        <w:t xml:space="preserve">using:</w:t>
      </w:r>
    </w:p>
    <w:p>
      <w:pPr>
        <w:pStyle w:val="BodyText"/>
      </w:pPr>
      <w:r>
        <w:t xml:space="preserve">Например, добавим и загрузим пакет Colors:</w:t>
      </w:r>
    </w:p>
    <w:p>
      <w:pPr>
        <w:pStyle w:val="SourceCode"/>
      </w:pPr>
      <w:r>
        <w:rPr>
          <w:rStyle w:val="BuiltInTok"/>
        </w:rPr>
        <w:t xml:space="preserve">Pkg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"Colors"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Colors</w:t>
      </w:r>
    </w:p>
    <w:p>
      <w:pPr>
        <w:pStyle w:val="FirstParagraph"/>
      </w:pPr>
      <w:r>
        <w:t xml:space="preserve">Затем создадим палитру из 100 разных цветов:</w:t>
      </w:r>
    </w:p>
    <w:p>
      <w:pPr>
        <w:pStyle w:val="SourceCode"/>
      </w:pP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distinguishable_colors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А затем определим матрицу 3 × 3 с элементами в форме случайного цвета из палитры,</w:t>
      </w:r>
      <w:r>
        <w:t xml:space="preserve"> </w:t>
      </w:r>
      <w:r>
        <w:t xml:space="preserve">используя функцию rand:</w:t>
      </w:r>
    </w:p>
    <w:p>
      <w:pPr>
        <w:pStyle w:val="SourceCode"/>
      </w:pPr>
      <w:r>
        <w:rPr>
          <w:rStyle w:val="FunctionTok"/>
        </w:rPr>
        <w:t xml:space="preserve">rand</w:t>
      </w:r>
      <w:r>
        <w:rPr>
          <w:rStyle w:val="NormalTok"/>
        </w:rPr>
        <w:t xml:space="preserve">(palette,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8"/>
    <w:bookmarkStart w:id="117" w:name="самостоятельная-работа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Выполнение задания №1 (рис. [</w:t>
      </w:r>
      <w:hyperlink w:anchor="fig:011">
        <w:r>
          <w:rPr>
            <w:rStyle w:val="Hyperlink"/>
          </w:rPr>
          <w:t xml:space="preserve">8</w:t>
        </w:r>
      </w:hyperlink>
      <w:r>
        <w:t xml:space="preserve">] - рис. [</w:t>
      </w:r>
      <w:hyperlink w:anchor="fig:014">
        <w:r>
          <w:rPr>
            <w:rStyle w:val="Hyperlink"/>
          </w:rPr>
          <w:t xml:space="preserve">11</w:t>
        </w:r>
      </w:hyperlink>
      <w:r>
        <w:t xml:space="preserve">]):</w:t>
      </w:r>
    </w:p>
    <w:bookmarkStart w:id="0" w:name="fig:011"/>
    <w:p>
      <w:pPr>
        <w:pStyle w:val="CaptionedFigure"/>
      </w:pPr>
      <w:bookmarkStart w:id="72" w:name="fig:011"/>
      <w:r>
        <w:drawing>
          <wp:inline>
            <wp:extent cx="5334000" cy="3531305"/>
            <wp:effectExtent b="0" l="0" r="0" t="0"/>
            <wp:docPr descr="Figure 8: Выполнение подпунктов задания №1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8: Выполнение подпунктов задания №1</w:t>
      </w:r>
    </w:p>
    <w:bookmarkEnd w:id="0"/>
    <w:bookmarkStart w:id="0" w:name="fig:012"/>
    <w:p>
      <w:pPr>
        <w:pStyle w:val="CaptionedFigure"/>
      </w:pPr>
      <w:bookmarkStart w:id="76" w:name="fig:012"/>
      <w:r>
        <w:drawing>
          <wp:inline>
            <wp:extent cx="5334000" cy="5325781"/>
            <wp:effectExtent b="0" l="0" r="0" t="0"/>
            <wp:docPr descr="Figure 9: Выполнение подпунктов задания №1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9: Выполнение подпунктов задания №1</w:t>
      </w:r>
    </w:p>
    <w:bookmarkEnd w:id="0"/>
    <w:bookmarkStart w:id="0" w:name="fig:013"/>
    <w:p>
      <w:pPr>
        <w:pStyle w:val="CaptionedFigure"/>
      </w:pPr>
      <w:bookmarkStart w:id="80" w:name="fig:013"/>
      <w:r>
        <w:drawing>
          <wp:inline>
            <wp:extent cx="5334000" cy="6475385"/>
            <wp:effectExtent b="0" l="0" r="0" t="0"/>
            <wp:docPr descr="Figure 10: Выполнение подпунктов задания №1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10: Выполнение подпунктов задания №1</w:t>
      </w:r>
    </w:p>
    <w:bookmarkEnd w:id="0"/>
    <w:bookmarkStart w:id="0" w:name="fig:014"/>
    <w:p>
      <w:pPr>
        <w:pStyle w:val="CaptionedFigure"/>
      </w:pPr>
      <w:bookmarkStart w:id="84" w:name="fig:014"/>
      <w:r>
        <w:drawing>
          <wp:inline>
            <wp:extent cx="5156200" cy="5054600"/>
            <wp:effectExtent b="0" l="0" r="0" t="0"/>
            <wp:docPr descr="Figure 11: Выполнение подпунктов задания №1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11: Выполнение подпунктов задания №1</w:t>
      </w:r>
    </w:p>
    <w:bookmarkEnd w:id="0"/>
    <w:p>
      <w:pPr>
        <w:pStyle w:val="BodyText"/>
      </w:pPr>
      <w:r>
        <w:t xml:space="preserve">Выполнение задания №2 (рис. [</w:t>
      </w:r>
      <w:hyperlink w:anchor="fig:015">
        <w:r>
          <w:rPr>
            <w:rStyle w:val="Hyperlink"/>
          </w:rPr>
          <w:t xml:space="preserve">12</w:t>
        </w:r>
      </w:hyperlink>
      <w:r>
        <w:t xml:space="preserve">]):</w:t>
      </w:r>
    </w:p>
    <w:bookmarkStart w:id="0" w:name="fig:015"/>
    <w:p>
      <w:pPr>
        <w:pStyle w:val="CaptionedFigure"/>
      </w:pPr>
      <w:bookmarkStart w:id="88" w:name="fig:015"/>
      <w:r>
        <w:drawing>
          <wp:inline>
            <wp:extent cx="5334000" cy="2281873"/>
            <wp:effectExtent b="0" l="0" r="0" t="0"/>
            <wp:docPr descr="Figure 12: Выполнение задания №2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12: Выполнение задания №2</w:t>
      </w:r>
    </w:p>
    <w:bookmarkEnd w:id="0"/>
    <w:p>
      <w:pPr>
        <w:pStyle w:val="BodyText"/>
      </w:pPr>
      <w:r>
        <w:t xml:space="preserve">Выполнение задания №3 (рис. [</w:t>
      </w:r>
      <w:hyperlink w:anchor="fig:016">
        <w:r>
          <w:rPr>
            <w:rStyle w:val="Hyperlink"/>
          </w:rPr>
          <w:t xml:space="preserve">13</w:t>
        </w:r>
      </w:hyperlink>
      <w:r>
        <w:t xml:space="preserve">]):</w:t>
      </w:r>
    </w:p>
    <w:bookmarkStart w:id="0" w:name="fig:016"/>
    <w:p>
      <w:pPr>
        <w:pStyle w:val="CaptionedFigure"/>
      </w:pPr>
      <w:bookmarkStart w:id="92" w:name="fig:016"/>
      <w:r>
        <w:drawing>
          <wp:inline>
            <wp:extent cx="4356100" cy="1651000"/>
            <wp:effectExtent b="0" l="0" r="0" t="0"/>
            <wp:docPr descr="Figure 13: Выполнение задания №3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13: Выполнение задания №3</w:t>
      </w:r>
    </w:p>
    <w:bookmarkEnd w:id="0"/>
    <w:p>
      <w:pPr>
        <w:pStyle w:val="BodyText"/>
      </w:pPr>
      <w:r>
        <w:t xml:space="preserve">Выполнение задания №4 (рис. [</w:t>
      </w:r>
      <w:hyperlink w:anchor="fig:017">
        <w:r>
          <w:rPr>
            <w:rStyle w:val="Hyperlink"/>
          </w:rPr>
          <w:t xml:space="preserve">14</w:t>
        </w:r>
      </w:hyperlink>
      <w:r>
        <w:t xml:space="preserve">]):</w:t>
      </w:r>
    </w:p>
    <w:bookmarkStart w:id="0" w:name="fig:017"/>
    <w:p>
      <w:pPr>
        <w:pStyle w:val="CaptionedFigure"/>
      </w:pPr>
      <w:bookmarkStart w:id="96" w:name="fig:017"/>
      <w:r>
        <w:drawing>
          <wp:inline>
            <wp:extent cx="4724400" cy="1981200"/>
            <wp:effectExtent b="0" l="0" r="0" t="0"/>
            <wp:docPr descr="Figure 14: Выполнение задания №4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14: Выполнение задания №4</w:t>
      </w:r>
    </w:p>
    <w:bookmarkEnd w:id="0"/>
    <w:p>
      <w:pPr>
        <w:pStyle w:val="BodyText"/>
      </w:pPr>
      <w:r>
        <w:t xml:space="preserve">Выполнение задания №5 (рис. [</w:t>
      </w:r>
      <w:hyperlink w:anchor="fig:018">
        <w:r>
          <w:rPr>
            <w:rStyle w:val="Hyperlink"/>
          </w:rPr>
          <w:t xml:space="preserve">15</w:t>
        </w:r>
      </w:hyperlink>
      <w:r>
        <w:t xml:space="preserve">]):</w:t>
      </w:r>
    </w:p>
    <w:bookmarkStart w:id="0" w:name="fig:018"/>
    <w:p>
      <w:pPr>
        <w:pStyle w:val="CaptionedFigure"/>
      </w:pPr>
      <w:bookmarkStart w:id="100" w:name="fig:018"/>
      <w:r>
        <w:drawing>
          <wp:inline>
            <wp:extent cx="5334000" cy="4367626"/>
            <wp:effectExtent b="0" l="0" r="0" t="0"/>
            <wp:docPr descr="Figure 15: Выполнение задания №5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15: Выполнение задания №5</w:t>
      </w:r>
    </w:p>
    <w:bookmarkEnd w:id="0"/>
    <w:p>
      <w:pPr>
        <w:pStyle w:val="BodyText"/>
      </w:pPr>
      <w:r>
        <w:t xml:space="preserve">Выполнение задания №6 (рис. [</w:t>
      </w:r>
      <w:hyperlink w:anchor="fig:019">
        <w:r>
          <w:rPr>
            <w:rStyle w:val="Hyperlink"/>
          </w:rPr>
          <w:t xml:space="preserve">16</w:t>
        </w:r>
      </w:hyperlink>
      <w:r>
        <w:t xml:space="preserve">]):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5334000" cy="7228656"/>
            <wp:effectExtent b="0" l="0" r="0" t="0"/>
            <wp:docPr descr="Figure 16: Выполнение задания №6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16: Выполнение задания №6</w:t>
      </w:r>
    </w:p>
    <w:bookmarkEnd w:id="0"/>
    <w:p>
      <w:pPr>
        <w:pStyle w:val="BodyText"/>
      </w:pPr>
      <w:r>
        <w:t xml:space="preserve">Выполнение задания №7 (рис. [</w:t>
      </w:r>
      <w:hyperlink w:anchor="fig:020">
        <w:r>
          <w:rPr>
            <w:rStyle w:val="Hyperlink"/>
          </w:rPr>
          <w:t xml:space="preserve">17</w:t>
        </w:r>
      </w:hyperlink>
      <w:r>
        <w:t xml:space="preserve">] - рис. [</w:t>
      </w:r>
      <w:hyperlink w:anchor="fig:022">
        <w:r>
          <w:rPr>
            <w:rStyle w:val="Hyperlink"/>
          </w:rPr>
          <w:t xml:space="preserve">19</w:t>
        </w:r>
      </w:hyperlink>
      <w:r>
        <w:t xml:space="preserve">]):</w:t>
      </w:r>
    </w:p>
    <w:bookmarkStart w:id="0" w:name="fig:020"/>
    <w:p>
      <w:pPr>
        <w:pStyle w:val="CaptionedFigure"/>
      </w:pPr>
      <w:bookmarkStart w:id="108" w:name="fig:020"/>
      <w:r>
        <w:drawing>
          <wp:inline>
            <wp:extent cx="5257800" cy="9144000"/>
            <wp:effectExtent b="0" l="0" r="0" t="0"/>
            <wp:docPr descr="Figure 17: Выполнение задания №7" title="" id="106" name="Picture"/>
            <a:graphic>
              <a:graphicData uri="http://schemas.openxmlformats.org/drawingml/2006/picture">
                <pic:pic>
                  <pic:nvPicPr>
                    <pic:cNvPr descr="image/2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17: Выполнение задания №7</w:t>
      </w:r>
    </w:p>
    <w:bookmarkEnd w:id="0"/>
    <w:bookmarkStart w:id="0" w:name="fig:021"/>
    <w:p>
      <w:pPr>
        <w:pStyle w:val="CaptionedFigure"/>
      </w:pPr>
      <w:bookmarkStart w:id="112" w:name="fig:021"/>
      <w:r>
        <w:drawing>
          <wp:inline>
            <wp:extent cx="5334000" cy="7513260"/>
            <wp:effectExtent b="0" l="0" r="0" t="0"/>
            <wp:docPr descr="Figure 18: Выполнение задания №7" title="" id="110" name="Picture"/>
            <a:graphic>
              <a:graphicData uri="http://schemas.openxmlformats.org/drawingml/2006/picture">
                <pic:pic>
                  <pic:nvPicPr>
                    <pic:cNvPr descr="image/2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18: Выполнение задания №7</w:t>
      </w:r>
    </w:p>
    <w:bookmarkEnd w:id="0"/>
    <w:bookmarkStart w:id="0" w:name="fig:022"/>
    <w:p>
      <w:pPr>
        <w:pStyle w:val="CaptionedFigure"/>
      </w:pPr>
      <w:bookmarkStart w:id="116" w:name="fig:022"/>
      <w:r>
        <w:drawing>
          <wp:inline>
            <wp:extent cx="5334000" cy="3674780"/>
            <wp:effectExtent b="0" l="0" r="0" t="0"/>
            <wp:docPr descr="Figure 19: Выполнение задания №7" title="" id="114" name="Picture"/>
            <a:graphic>
              <a:graphicData uri="http://schemas.openxmlformats.org/drawingml/2006/picture">
                <pic:pic>
                  <pic:nvPicPr>
                    <pic:cNvPr descr="image/2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19: Выполнение задания №7</w:t>
      </w:r>
    </w:p>
    <w:bookmarkEnd w:id="0"/>
    <w:bookmarkEnd w:id="117"/>
    <w:bookmarkEnd w:id="118"/>
    <w:bookmarkStart w:id="119" w:name="вывод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освоено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2024-11-30T19:44:48Z</dcterms:created>
  <dcterms:modified xsi:type="dcterms:W3CDTF">2024-11-30T19:44:48Z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