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FECHA:24/03/22    </w:t>
        <w:tab/>
        <w:t xml:space="preserve">HORA:5:00 </w:t>
        <w:tab/>
        <w:t xml:space="preserve"> PROYECTO/MÓDULO: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galan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Jose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Andres Alvarez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DÍA: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están elaborando las historias de usuario, los casos de uso y los diagramas de clases.</w:t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reunió el equipo para la repartición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Elaboración de Historias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31-03-2022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Elaboración de Casos de Uso.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Jose Vera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Alvarez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Elaboración de Diagrama de Clases.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rPr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6"/>
              <w:szCs w:val="26"/>
              <w:rtl w:val="0"/>
            </w:rPr>
            <w:t xml:space="preserve">pet</w:t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’s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6"/>
              <w:szCs w:val="26"/>
              <w:rtl w:val="0"/>
            </w:rPr>
            <w:t xml:space="preserve">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</w:rPr>
            <w:drawing>
              <wp:inline distB="0" distT="0" distL="0" distR="0">
                <wp:extent cx="610553" cy="6096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3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z/N+XvG4P0bpKKw3GPUXjkzw==">AMUW2mWcQLqSV2MS+PY4i2OnRjTD32PlFo9dig00hBxbASf6WrNvd6HvIqycdAYTzzOYqnsW8QINv4Cz746mTsWqz41imd9EWU8MdEmxCOwMAUupPwstF70=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