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0F172A"/>
          <w:sz w:val="38"/>
          <w:szCs w:val="38"/>
        </w:rPr>
        <w:t xml:space="preserve">Executive Proposal: Standardizing Media Metadata Extraction via In-House Engine</w:t>
      </w:r>
    </w:p>
    <w:p>
      <w:pPr>
        <w:spacing w:after="300"/>
      </w:pPr>
      <w:r>
        <w:rPr>
          <w:rFonts w:ascii="Arial" w:cs="Arial" w:eastAsia="Arial" w:hAnsi="Arial"/>
          <w:b/>
          <w:bCs/>
          <w:color w:val="475569"/>
          <w:sz w:val="22"/>
          <w:szCs w:val="22"/>
        </w:rPr>
        <w:t xml:space="preserve">Status: </w:t>
      </w:r>
      <w:r>
        <w:rPr>
          <w:rFonts w:ascii="Arial" w:cs="Arial" w:eastAsia="Arial" w:hAnsi="Arial"/>
          <w:color w:val="475569"/>
          <w:sz w:val="22"/>
          <w:szCs w:val="22"/>
        </w:rPr>
        <w:t xml:space="preserve">Proposal &amp; Validated POC  |  </w:t>
      </w:r>
      <w:r>
        <w:rPr>
          <w:rFonts w:ascii="Arial" w:cs="Arial" w:eastAsia="Arial" w:hAnsi="Arial"/>
          <w:b/>
          <w:bCs/>
          <w:color w:val="475569"/>
          <w:sz w:val="22"/>
          <w:szCs w:val="22"/>
        </w:rPr>
        <w:t xml:space="preserve">Date: </w:t>
      </w:r>
      <w:r>
        <w:rPr>
          <w:rFonts w:ascii="Arial" w:cs="Arial" w:eastAsia="Arial" w:hAnsi="Arial"/>
          <w:color w:val="475569"/>
          <w:sz w:val="22"/>
          <w:szCs w:val="22"/>
        </w:rPr>
        <w:t xml:space="preserve">August 2026</w:t>
      </w:r>
    </w:p>
    <w:p>
      <w:pPr>
        <w:pStyle w:val="Heading1"/>
        <w:spacing w:after="120" w:before="280"/>
      </w:pPr>
      <w:r>
        <w:rPr>
          <w:rFonts w:ascii="Arial" w:cs="Arial" w:eastAsia="Arial" w:hAnsi="Arial"/>
          <w:b/>
          <w:bCs/>
          <w:color w:val="0F172A"/>
          <w:sz w:val="30"/>
          <w:szCs w:val="30"/>
        </w:rPr>
        <w:t xml:space="preserve">1. Executive Summary</w:t>
      </w:r>
    </w:p>
    <w:p>
      <w:pPr>
        <w:spacing w:after="140" w:before="120"/>
      </w:pPr>
      <w:r>
        <w:rPr>
          <w:rFonts w:ascii="Arial" w:cs="Arial" w:eastAsia="Arial" w:hAnsi="Arial"/>
          <w:b w:val="false"/>
          <w:bCs w:val="false"/>
          <w:i w:val="false"/>
          <w:iCs w:val="false"/>
          <w:color w:val="1E293B"/>
          <w:sz w:val="24"/>
          <w:szCs w:val="24"/>
        </w:rPr>
        <w:t xml:space="preserve">Over the past six years, The Vault platform has utilized CloudConvert (a third-party SaaS service) to extract technical file information (such as image dimensions, video durations, audio/video codecs, framerates, color spaces, and document page specifications) from uploaded media assets. This information is saved directly to our database and powers downstream processes such as asset validation, automated layout rendering, and media delivery.</w:t>
      </w:r>
    </w:p>
    <w:p>
      <w:pPr>
        <w:spacing w:after="140" w:before="120"/>
      </w:pPr>
      <w:r>
        <w:rPr>
          <w:rFonts w:ascii="Arial" w:cs="Arial" w:eastAsia="Arial" w:hAnsi="Arial"/>
          <w:b w:val="false"/>
          <w:bCs w:val="false"/>
          <w:i w:val="false"/>
          <w:iCs w:val="false"/>
          <w:color w:val="1E293B"/>
          <w:sz w:val="24"/>
          <w:szCs w:val="24"/>
        </w:rPr>
        <w:t xml:space="preserve">Operating an external third-party service for metadata extraction over an extended period has introduced key operational challenges:</w:t>
      </w:r>
    </w:p>
    <w:p>
      <w:pPr>
        <w:spacing w:after="140" w:before="120"/>
      </w:pPr>
      <w:r>
        <w:rPr>
          <w:rFonts w:ascii="Arial" w:cs="Arial" w:eastAsia="Arial" w:hAnsi="Arial"/>
          <w:b w:val="false"/>
          <w:bCs w:val="false"/>
          <w:i w:val="false"/>
          <w:iCs w:val="false"/>
          <w:color w:val="1E293B"/>
          <w:sz w:val="24"/>
          <w:szCs w:val="24"/>
        </w:rPr>
        <w:t xml:space="preserve">• Uncontrolled Upstream Schema Drift: CloudConvert updates its underlying extraction libraries automatically without advance notice or version control. These updates have introduced subtle changes to metadata property names over time, requiring our engineering team to continually write complex backwards-compatibility code (such as checking multiple variations of dimensions like ImageWidth, width, ImageSize, and MaxPageSizeW) to ensure older campaign assets do not break modern rendering workflows.</w:t>
      </w:r>
    </w:p>
    <w:p>
      <w:pPr>
        <w:spacing w:after="140" w:before="120"/>
      </w:pPr>
      <w:r>
        <w:rPr>
          <w:rFonts w:ascii="Arial" w:cs="Arial" w:eastAsia="Arial" w:hAnsi="Arial"/>
          <w:b w:val="false"/>
          <w:bCs w:val="false"/>
          <w:i w:val="false"/>
          <w:iCs w:val="false"/>
          <w:color w:val="1E293B"/>
          <w:sz w:val="24"/>
          <w:szCs w:val="24"/>
        </w:rPr>
        <w:t xml:space="preserve">• Operational Latency &amp; Webhook Dependency: External API roundtrips and remote queuing routinely add between 2 and 28 seconds of latency per asset, keeping Lambda functions alive longer and introducing an external network dependency into core ingestion.</w:t>
      </w:r>
    </w:p>
    <w:p>
      <w:pPr>
        <w:spacing w:after="140" w:before="120"/>
      </w:pPr>
      <w:r>
        <w:rPr>
          <w:rFonts w:ascii="Arial" w:cs="Arial" w:eastAsia="Arial" w:hAnsi="Arial"/>
          <w:b w:val="false"/>
          <w:bCs w:val="false"/>
          <w:i w:val="false"/>
          <w:iCs w:val="false"/>
          <w:color w:val="1E293B"/>
          <w:sz w:val="24"/>
          <w:szCs w:val="24"/>
        </w:rPr>
        <w:t xml:space="preserve">• Recurring SaaS Expense: Continuous per-conversion subscription and credit costs for reading basic file header data.</w:t>
      </w:r>
    </w:p>
    <w:p>
      <w:pPr>
        <w:spacing w:after="140" w:before="120"/>
      </w:pPr>
      <w:r>
        <w:rPr>
          <w:rFonts w:ascii="Arial" w:cs="Arial" w:eastAsia="Arial" w:hAnsi="Arial"/>
          <w:b/>
          <w:bCs/>
          <w:i w:val="false"/>
          <w:iCs w:val="false"/>
          <w:color w:val="1E293B"/>
          <w:sz w:val="24"/>
          <w:szCs w:val="24"/>
        </w:rPr>
        <w:t xml:space="preserve">Proposed Solution: We propose replacing the CloudConvert integration inside our existing metadata extraction AWS Lambda with a dedicated, in-house extraction engine (ExifTool). Because the Lambda infrastructure is already provisioned and executes asynchronously, infrastructure compute costs remain virtually unchanged, while completely eliminating external SaaS billing. To further improve resilience, we recommend introducing a standard message queue (Amazon SQS) between the backend and Lambda to buffer high-volume upload bursts.</w:t>
      </w:r>
    </w:p>
    <w:p>
      <w:pPr>
        <w:pStyle w:val="Heading1"/>
        <w:spacing w:after="120" w:before="280"/>
      </w:pPr>
      <w:r>
        <w:rPr>
          <w:rFonts w:ascii="Arial" w:cs="Arial" w:eastAsia="Arial" w:hAnsi="Arial"/>
          <w:b/>
          <w:bCs/>
          <w:color w:val="0F172A"/>
          <w:sz w:val="30"/>
          <w:szCs w:val="30"/>
        </w:rPr>
        <w:t xml:space="preserve">2. Ingestion Architecture &amp; Technical Rationale</w:t>
      </w:r>
    </w:p>
    <w:p>
      <w:pPr>
        <w:pStyle w:val="Heading2"/>
        <w:spacing w:after="120" w:before="280"/>
      </w:pPr>
      <w:r>
        <w:rPr>
          <w:rFonts w:ascii="Arial" w:cs="Arial" w:eastAsia="Arial" w:hAnsi="Arial"/>
          <w:b/>
          <w:bCs/>
          <w:color w:val="0F172A"/>
          <w:sz w:val="26"/>
          <w:szCs w:val="26"/>
        </w:rPr>
        <w:t xml:space="preserve">Current Architecture Workflow:</w:t>
      </w:r>
    </w:p>
    <w:p>
      <w:pPr>
        <w:spacing w:after="140" w:before="120"/>
      </w:pPr>
      <w:r>
        <w:rPr>
          <w:rFonts w:ascii="Arial" w:cs="Arial" w:eastAsia="Arial" w:hAnsi="Arial"/>
          <w:b w:val="false"/>
          <w:bCs w:val="false"/>
          <w:i w:val="false"/>
          <w:iCs w:val="false"/>
          <w:color w:val="1E293B"/>
          <w:sz w:val="24"/>
          <w:szCs w:val="24"/>
        </w:rPr>
        <w:t xml:space="preserve">1. User / Frontend: Direct File Upload to Amazon S3</w:t>
      </w:r>
    </w:p>
    <w:p>
      <w:pPr>
        <w:spacing w:after="140" w:before="120"/>
      </w:pPr>
      <w:r>
        <w:rPr>
          <w:rFonts w:ascii="Arial" w:cs="Arial" w:eastAsia="Arial" w:hAnsi="Arial"/>
          <w:b w:val="false"/>
          <w:bCs w:val="false"/>
          <w:i w:val="false"/>
          <w:iCs w:val="false"/>
          <w:color w:val="1E293B"/>
          <w:sz w:val="24"/>
          <w:szCs w:val="24"/>
        </w:rPr>
        <w:t xml:space="preserve">2. Frontend: Upload Complete API Call to Backend Service</w:t>
      </w:r>
    </w:p>
    <w:p>
      <w:pPr>
        <w:spacing w:after="140" w:before="120"/>
      </w:pPr>
      <w:r>
        <w:rPr>
          <w:rFonts w:ascii="Arial" w:cs="Arial" w:eastAsia="Arial" w:hAnsi="Arial"/>
          <w:b w:val="false"/>
          <w:bCs w:val="false"/>
          <w:i w:val="false"/>
          <w:iCs w:val="false"/>
          <w:color w:val="1E293B"/>
          <w:sz w:val="24"/>
          <w:szCs w:val="24"/>
        </w:rPr>
        <w:t xml:space="preserve">3. Backend Service: Asynchronous / Non-blocking Fire-and-Forget Trigger to Existing AWS Lambda</w:t>
      </w:r>
    </w:p>
    <w:p>
      <w:pPr>
        <w:spacing w:after="140" w:before="120"/>
      </w:pPr>
      <w:r>
        <w:rPr>
          <w:rFonts w:ascii="Arial" w:cs="Arial" w:eastAsia="Arial" w:hAnsi="Arial"/>
          <w:b w:val="false"/>
          <w:bCs w:val="false"/>
          <w:i w:val="false"/>
          <w:iCs w:val="false"/>
          <w:color w:val="1E293B"/>
          <w:sz w:val="24"/>
          <w:szCs w:val="24"/>
        </w:rPr>
        <w:t xml:space="preserve">4. Existing AWS Lambda: External API Call (2s - 28s) to CloudConvert SaaS</w:t>
      </w:r>
    </w:p>
    <w:p>
      <w:pPr>
        <w:spacing w:after="140" w:before="120"/>
      </w:pPr>
      <w:r>
        <w:rPr>
          <w:rFonts w:ascii="Arial" w:cs="Arial" w:eastAsia="Arial" w:hAnsi="Arial"/>
          <w:b w:val="false"/>
          <w:bCs w:val="false"/>
          <w:i w:val="false"/>
          <w:iCs w:val="false"/>
          <w:color w:val="1E293B"/>
          <w:sz w:val="24"/>
          <w:szCs w:val="24"/>
        </w:rPr>
        <w:t xml:space="preserve">5. Existing AWS Lambda: Direct Database Save to PostgreSQL files.metadata</w:t>
      </w:r>
    </w:p>
    <w:p>
      <w:pPr>
        <w:pStyle w:val="Heading2"/>
        <w:spacing w:after="120" w:before="280"/>
      </w:pPr>
      <w:r>
        <w:rPr>
          <w:rFonts w:ascii="Arial" w:cs="Arial" w:eastAsia="Arial" w:hAnsi="Arial"/>
          <w:b/>
          <w:bCs/>
          <w:color w:val="0F172A"/>
          <w:sz w:val="26"/>
          <w:szCs w:val="26"/>
        </w:rPr>
        <w:t xml:space="preserve">Target Architecture (In-House Engine with Queue Buffering):</w:t>
      </w:r>
    </w:p>
    <w:p>
      <w:pPr>
        <w:spacing w:after="140" w:before="120"/>
      </w:pPr>
      <w:r>
        <w:rPr>
          <w:rFonts w:ascii="Arial" w:cs="Arial" w:eastAsia="Arial" w:hAnsi="Arial"/>
          <w:b w:val="false"/>
          <w:bCs w:val="false"/>
          <w:i w:val="false"/>
          <w:iCs w:val="false"/>
          <w:color w:val="1E293B"/>
          <w:sz w:val="24"/>
          <w:szCs w:val="24"/>
        </w:rPr>
        <w:t xml:space="preserve">1. User / Frontend: Direct File Upload to Amazon S3</w:t>
      </w:r>
    </w:p>
    <w:p>
      <w:pPr>
        <w:spacing w:after="140" w:before="120"/>
      </w:pPr>
      <w:r>
        <w:rPr>
          <w:rFonts w:ascii="Arial" w:cs="Arial" w:eastAsia="Arial" w:hAnsi="Arial"/>
          <w:b w:val="false"/>
          <w:bCs w:val="false"/>
          <w:i w:val="false"/>
          <w:iCs w:val="false"/>
          <w:color w:val="1E293B"/>
          <w:sz w:val="24"/>
          <w:szCs w:val="24"/>
        </w:rPr>
        <w:t xml:space="preserve">2. Frontend: Upload Complete API Call to Backend Service</w:t>
      </w:r>
    </w:p>
    <w:p>
      <w:pPr>
        <w:spacing w:after="140" w:before="120"/>
      </w:pPr>
      <w:r>
        <w:rPr>
          <w:rFonts w:ascii="Arial" w:cs="Arial" w:eastAsia="Arial" w:hAnsi="Arial"/>
          <w:b w:val="false"/>
          <w:bCs w:val="false"/>
          <w:i w:val="false"/>
          <w:iCs w:val="false"/>
          <w:color w:val="1E293B"/>
          <w:sz w:val="24"/>
          <w:szCs w:val="24"/>
        </w:rPr>
        <w:t xml:space="preserve">3. Backend Service: Enqueue Task in Amazon SQS Queue Buffer</w:t>
      </w:r>
    </w:p>
    <w:p>
      <w:pPr>
        <w:spacing w:after="140" w:before="120"/>
      </w:pPr>
      <w:r>
        <w:rPr>
          <w:rFonts w:ascii="Arial" w:cs="Arial" w:eastAsia="Arial" w:hAnsi="Arial"/>
          <w:b w:val="false"/>
          <w:bCs w:val="false"/>
          <w:i w:val="false"/>
          <w:iCs w:val="false"/>
          <w:color w:val="1E293B"/>
          <w:sz w:val="24"/>
          <w:szCs w:val="24"/>
        </w:rPr>
        <w:t xml:space="preserve">4. Amazon SQS Queue: Asynchronous Trigger to Existing AWS Lambda (In-House Engine: &lt;400ms)</w:t>
      </w:r>
    </w:p>
    <w:p>
      <w:pPr>
        <w:spacing w:after="140" w:before="120"/>
      </w:pPr>
      <w:r>
        <w:rPr>
          <w:rFonts w:ascii="Arial" w:cs="Arial" w:eastAsia="Arial" w:hAnsi="Arial"/>
          <w:b w:val="false"/>
          <w:bCs w:val="false"/>
          <w:i w:val="false"/>
          <w:iCs w:val="false"/>
          <w:color w:val="1E293B"/>
          <w:sz w:val="24"/>
          <w:szCs w:val="24"/>
        </w:rPr>
        <w:t xml:space="preserve">5. Existing AWS Lambda: Direct Database Save to PostgreSQL files.metadata</w:t>
      </w:r>
    </w:p>
    <w:p>
      <w:pPr>
        <w:pStyle w:val="Heading2"/>
        <w:spacing w:after="120" w:before="280"/>
      </w:pPr>
      <w:r>
        <w:rPr>
          <w:rFonts w:ascii="Arial" w:cs="Arial" w:eastAsia="Arial" w:hAnsi="Arial"/>
          <w:b/>
          <w:bCs/>
          <w:color w:val="0F172A"/>
          <w:sz w:val="26"/>
          <w:szCs w:val="26"/>
        </w:rPr>
        <w:t xml:space="preserve">Problem Analyses &amp; Architectural Resolutions:</w:t>
      </w:r>
    </w:p>
    <w:p>
      <w:pPr>
        <w:spacing w:after="140" w:before="120"/>
      </w:pPr>
      <w:r>
        <w:rPr>
          <w:rFonts w:ascii="Arial" w:cs="Arial" w:eastAsia="Arial" w:hAnsi="Arial"/>
          <w:b w:val="false"/>
          <w:bCs w:val="false"/>
          <w:i w:val="false"/>
          <w:iCs w:val="false"/>
          <w:color w:val="1E293B"/>
          <w:sz w:val="24"/>
          <w:szCs w:val="24"/>
        </w:rPr>
        <w:t xml:space="preserve">• Upstream Version Changes &amp; Data Inconsistencies: Because CloudConvert is an unversioned third-party service, updates to its internal toolchain occur without notice. Over six years of operation, this has resulted in mixed data structures across historical campaign files (older assets contain legacy attribute names; newer assets contain updated names). Embedding ExifTool directly within our Lambda locks in a specific, stable version, guaranteeing 100% schema consistency.</w:t>
      </w:r>
    </w:p>
    <w:p>
      <w:pPr>
        <w:spacing w:after="140" w:before="120"/>
      </w:pPr>
      <w:r>
        <w:rPr>
          <w:rFonts w:ascii="Arial" w:cs="Arial" w:eastAsia="Arial" w:hAnsi="Arial"/>
          <w:b w:val="false"/>
          <w:bCs w:val="false"/>
          <w:i w:val="false"/>
          <w:iCs w:val="false"/>
          <w:color w:val="1E293B"/>
          <w:sz w:val="24"/>
          <w:szCs w:val="24"/>
        </w:rPr>
        <w:t xml:space="preserve">• Extraction Latency &amp; Extended Lambda Lifecycles: CloudConvert requires external job creation, remote queueing, and network transit (taking 2s to 28s per file). The in-house engine completes extraction in under 400 milliseconds, reducing Lambda execution time by over 90% and eliminating external network failure risks.</w:t>
      </w:r>
    </w:p>
    <w:p>
      <w:pPr>
        <w:spacing w:after="140" w:before="120"/>
      </w:pPr>
      <w:r>
        <w:rPr>
          <w:rFonts w:ascii="Arial" w:cs="Arial" w:eastAsia="Arial" w:hAnsi="Arial"/>
          <w:b w:val="false"/>
          <w:bCs w:val="false"/>
          <w:i w:val="false"/>
          <w:iCs w:val="false"/>
          <w:color w:val="1E293B"/>
          <w:sz w:val="24"/>
          <w:szCs w:val="24"/>
        </w:rPr>
        <w:t xml:space="preserve">• Zero Additional Infrastructure Cost: Because the AWS Lambda function and database connections are already in place, this upgrade simply updates the logic inside the existing function. Compute costs remain identical, while 100% of third-party CloudConvert credit fees are eliminated.</w:t>
      </w:r>
    </w:p>
    <w:p>
      <w:pPr>
        <w:pStyle w:val="Heading1"/>
        <w:spacing w:after="120" w:before="280"/>
      </w:pPr>
      <w:r>
        <w:rPr>
          <w:rFonts w:ascii="Arial" w:cs="Arial" w:eastAsia="Arial" w:hAnsi="Arial"/>
          <w:b/>
          <w:bCs/>
          <w:color w:val="0F172A"/>
          <w:sz w:val="30"/>
          <w:szCs w:val="30"/>
        </w:rPr>
        <w:t xml:space="preserve">3. Proof of Concept (POC) Validation &amp; Benchmark Results</w:t>
      </w:r>
    </w:p>
    <w:p>
      <w:pPr>
        <w:spacing w:after="140" w:before="120"/>
      </w:pPr>
      <w:r>
        <w:rPr>
          <w:rFonts w:ascii="Arial" w:cs="Arial" w:eastAsia="Arial" w:hAnsi="Arial"/>
          <w:b w:val="false"/>
          <w:bCs w:val="false"/>
          <w:i w:val="false"/>
          <w:iCs w:val="false"/>
          <w:color w:val="1E293B"/>
          <w:sz w:val="24"/>
          <w:szCs w:val="24"/>
        </w:rPr>
        <w:t xml:space="preserve">A Proof of Concept was developed to verify data parity between live CloudConvert API responses and the in-house extraction engine across representative media formats in The Vault catalog: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1F5F9" w:val="clear"/>
          </w:tcPr>
          <w:p>
            <w:pPr>
              <w:spacing w:after="80" w:before="80"/>
            </w:pPr>
            <w:r>
              <w:rPr>
                <w:rFonts w:ascii="Arial" w:cs="Arial" w:eastAsia="Arial" w:hAnsi="Arial"/>
                <w:b/>
                <w:bCs/>
                <w:color w:val="0F172A"/>
                <w:sz w:val="22"/>
                <w:szCs w:val="22"/>
              </w:rPr>
              <w:t xml:space="preserve">Media Format</w:t>
            </w:r>
          </w:p>
        </w:tc>
        <w:tc>
          <w:tcPr>
            <w:tcW w:type="pct" w:w="30%"/>
            <w:shd w:fill="F1F5F9" w:val="clear"/>
          </w:tcPr>
          <w:p>
            <w:pPr>
              <w:spacing w:after="80" w:before="80"/>
            </w:pPr>
            <w:r>
              <w:rPr>
                <w:rFonts w:ascii="Arial" w:cs="Arial" w:eastAsia="Arial" w:hAnsi="Arial"/>
                <w:b/>
                <w:bCs/>
                <w:color w:val="0F172A"/>
                <w:sz w:val="22"/>
                <w:szCs w:val="22"/>
              </w:rPr>
              <w:t xml:space="preserve">Asset Type</w:t>
            </w:r>
          </w:p>
        </w:tc>
        <w:tc>
          <w:tcPr>
            <w:tcW w:type="pct" w:w="30%"/>
            <w:shd w:fill="F1F5F9" w:val="clear"/>
          </w:tcPr>
          <w:p>
            <w:pPr>
              <w:spacing w:after="80" w:before="80"/>
            </w:pPr>
            <w:r>
              <w:rPr>
                <w:rFonts w:ascii="Arial" w:cs="Arial" w:eastAsia="Arial" w:hAnsi="Arial"/>
                <w:b/>
                <w:bCs/>
                <w:color w:val="0F172A"/>
                <w:sz w:val="22"/>
                <w:szCs w:val="22"/>
              </w:rPr>
              <w:t xml:space="preserve">Extracted Technical Attributes</w:t>
            </w:r>
          </w:p>
        </w:tc>
        <w:tc>
          <w:tcPr>
            <w:tcW w:type="pct" w:w="15%"/>
            <w:shd w:fill="F1F5F9" w:val="clear"/>
          </w:tcPr>
          <w:p>
            <w:pPr>
              <w:spacing w:after="80" w:before="80"/>
            </w:pPr>
            <w:r>
              <w:rPr>
                <w:rFonts w:ascii="Arial" w:cs="Arial" w:eastAsia="Arial" w:hAnsi="Arial"/>
                <w:b/>
                <w:bCs/>
                <w:color w:val="0F172A"/>
                <w:sz w:val="22"/>
                <w:szCs w:val="22"/>
              </w:rPr>
              <w:t xml:space="preserve">Verification Status</w:t>
            </w:r>
          </w:p>
        </w:tc>
      </w:tr>
      <w:tr>
        <w:tc>
          <w:tcPr>
            <w:tcW w:type="pct" w:w="25%"/>
          </w:tcPr>
          <w:p>
            <w:pPr>
              <w:spacing w:after="80" w:before="80"/>
            </w:pPr>
            <w:r>
              <w:rPr>
                <w:rFonts w:ascii="Arial" w:cs="Arial" w:eastAsia="Arial" w:hAnsi="Arial"/>
                <w:b w:val="false"/>
                <w:bCs w:val="false"/>
                <w:color w:val="334155"/>
                <w:sz w:val="22"/>
                <w:szCs w:val="22"/>
              </w:rPr>
              <w:t xml:space="preserve">PNG</w:t>
            </w:r>
          </w:p>
        </w:tc>
        <w:tc>
          <w:tcPr>
            <w:tcW w:type="pct" w:w="30%"/>
          </w:tcPr>
          <w:p>
            <w:pPr>
              <w:spacing w:after="80" w:before="80"/>
            </w:pPr>
            <w:r>
              <w:rPr>
                <w:rFonts w:ascii="Arial" w:cs="Arial" w:eastAsia="Arial" w:hAnsi="Arial"/>
                <w:b w:val="false"/>
                <w:bCs w:val="false"/>
                <w:color w:val="334155"/>
                <w:sz w:val="22"/>
                <w:szCs w:val="22"/>
              </w:rPr>
              <w:t xml:space="preserve">Brand graphics, transparent overlays</w:t>
            </w:r>
          </w:p>
        </w:tc>
        <w:tc>
          <w:tcPr>
            <w:tcW w:type="pct" w:w="30%"/>
          </w:tcPr>
          <w:p>
            <w:pPr>
              <w:spacing w:after="80" w:before="80"/>
            </w:pPr>
            <w:r>
              <w:rPr>
                <w:rFonts w:ascii="Arial" w:cs="Arial" w:eastAsia="Arial" w:hAnsi="Arial"/>
                <w:b w:val="false"/>
                <w:bCs w:val="false"/>
                <w:color w:val="334155"/>
                <w:sz w:val="22"/>
                <w:szCs w:val="22"/>
              </w:rPr>
              <w:t xml:space="preserve">Dimensions, Bit Depth, Color Type, DPI, Gamma</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JPEG</w:t>
            </w:r>
          </w:p>
        </w:tc>
        <w:tc>
          <w:tcPr>
            <w:tcW w:type="pct" w:w="30%"/>
          </w:tcPr>
          <w:p>
            <w:pPr>
              <w:spacing w:after="80" w:before="80"/>
            </w:pPr>
            <w:r>
              <w:rPr>
                <w:rFonts w:ascii="Arial" w:cs="Arial" w:eastAsia="Arial" w:hAnsi="Arial"/>
                <w:b w:val="false"/>
                <w:bCs w:val="false"/>
                <w:color w:val="334155"/>
                <w:sz w:val="22"/>
                <w:szCs w:val="22"/>
              </w:rPr>
              <w:t xml:space="preserve">Photography, campaign images</w:t>
            </w:r>
          </w:p>
        </w:tc>
        <w:tc>
          <w:tcPr>
            <w:tcW w:type="pct" w:w="30%"/>
          </w:tcPr>
          <w:p>
            <w:pPr>
              <w:spacing w:after="80" w:before="80"/>
            </w:pPr>
            <w:r>
              <w:rPr>
                <w:rFonts w:ascii="Arial" w:cs="Arial" w:eastAsia="Arial" w:hAnsi="Arial"/>
                <w:b w:val="false"/>
                <w:bCs w:val="false"/>
                <w:color w:val="334155"/>
                <w:sz w:val="22"/>
                <w:szCs w:val="22"/>
              </w:rPr>
              <w:t xml:space="preserve">Dimensions, EXIF metadata, Megapixels, Color Space</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MP4</w:t>
            </w:r>
          </w:p>
        </w:tc>
        <w:tc>
          <w:tcPr>
            <w:tcW w:type="pct" w:w="30%"/>
          </w:tcPr>
          <w:p>
            <w:pPr>
              <w:spacing w:after="80" w:before="80"/>
            </w:pPr>
            <w:r>
              <w:rPr>
                <w:rFonts w:ascii="Arial" w:cs="Arial" w:eastAsia="Arial" w:hAnsi="Arial"/>
                <w:b w:val="false"/>
                <w:bCs w:val="false"/>
                <w:color w:val="334155"/>
                <w:sz w:val="22"/>
                <w:szCs w:val="22"/>
              </w:rPr>
              <w:t xml:space="preserve">Video commercials, board renders</w:t>
            </w:r>
          </w:p>
        </w:tc>
        <w:tc>
          <w:tcPr>
            <w:tcW w:type="pct" w:w="30%"/>
          </w:tcPr>
          <w:p>
            <w:pPr>
              <w:spacing w:after="80" w:before="80"/>
            </w:pPr>
            <w:r>
              <w:rPr>
                <w:rFonts w:ascii="Arial" w:cs="Arial" w:eastAsia="Arial" w:hAnsi="Arial"/>
                <w:b w:val="false"/>
                <w:bCs w:val="false"/>
                <w:color w:val="334155"/>
                <w:sz w:val="22"/>
                <w:szCs w:val="22"/>
              </w:rPr>
              <w:t xml:space="preserve">Resolution, Duration, Framerate, Bitrate, Codecs</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QuickTime MOV</w:t>
            </w:r>
          </w:p>
        </w:tc>
        <w:tc>
          <w:tcPr>
            <w:tcW w:type="pct" w:w="30%"/>
          </w:tcPr>
          <w:p>
            <w:pPr>
              <w:spacing w:after="80" w:before="80"/>
            </w:pPr>
            <w:r>
              <w:rPr>
                <w:rFonts w:ascii="Arial" w:cs="Arial" w:eastAsia="Arial" w:hAnsi="Arial"/>
                <w:b w:val="false"/>
                <w:bCs w:val="false"/>
                <w:color w:val="334155"/>
                <w:sz w:val="22"/>
                <w:szCs w:val="22"/>
              </w:rPr>
              <w:t xml:space="preserve">High-definition master videos</w:t>
            </w:r>
          </w:p>
        </w:tc>
        <w:tc>
          <w:tcPr>
            <w:tcW w:type="pct" w:w="30%"/>
          </w:tcPr>
          <w:p>
            <w:pPr>
              <w:spacing w:after="80" w:before="80"/>
            </w:pPr>
            <w:r>
              <w:rPr>
                <w:rFonts w:ascii="Arial" w:cs="Arial" w:eastAsia="Arial" w:hAnsi="Arial"/>
                <w:b w:val="false"/>
                <w:bCs w:val="false"/>
                <w:color w:val="334155"/>
                <w:sz w:val="22"/>
                <w:szCs w:val="22"/>
              </w:rPr>
              <w:t xml:space="preserve">Resolution, TimeScale, Duration, Codec profile</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PDF</w:t>
            </w:r>
          </w:p>
        </w:tc>
        <w:tc>
          <w:tcPr>
            <w:tcW w:type="pct" w:w="30%"/>
          </w:tcPr>
          <w:p>
            <w:pPr>
              <w:spacing w:after="80" w:before="80"/>
            </w:pPr>
            <w:r>
              <w:rPr>
                <w:rFonts w:ascii="Arial" w:cs="Arial" w:eastAsia="Arial" w:hAnsi="Arial"/>
                <w:b w:val="false"/>
                <w:bCs w:val="false"/>
                <w:color w:val="334155"/>
                <w:sz w:val="22"/>
                <w:szCs w:val="22"/>
              </w:rPr>
              <w:t xml:space="preserve">Print proofs, campaign specifications</w:t>
            </w:r>
          </w:p>
        </w:tc>
        <w:tc>
          <w:tcPr>
            <w:tcW w:type="pct" w:w="30%"/>
          </w:tcPr>
          <w:p>
            <w:pPr>
              <w:spacing w:after="80" w:before="80"/>
            </w:pPr>
            <w:r>
              <w:rPr>
                <w:rFonts w:ascii="Arial" w:cs="Arial" w:eastAsia="Arial" w:hAnsi="Arial"/>
                <w:b w:val="false"/>
                <w:bCs w:val="false"/>
                <w:color w:val="334155"/>
                <w:sz w:val="22"/>
                <w:szCs w:val="22"/>
              </w:rPr>
              <w:t xml:space="preserve">Page Count, PDF Version, Creator Software</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Adobe Illustrator (AI/EPS)</w:t>
            </w:r>
          </w:p>
        </w:tc>
        <w:tc>
          <w:tcPr>
            <w:tcW w:type="pct" w:w="30%"/>
          </w:tcPr>
          <w:p>
            <w:pPr>
              <w:spacing w:after="80" w:before="80"/>
            </w:pPr>
            <w:r>
              <w:rPr>
                <w:rFonts w:ascii="Arial" w:cs="Arial" w:eastAsia="Arial" w:hAnsi="Arial"/>
                <w:b w:val="false"/>
                <w:bCs w:val="false"/>
                <w:color w:val="334155"/>
                <w:sz w:val="22"/>
                <w:szCs w:val="22"/>
              </w:rPr>
              <w:t xml:space="preserve">Vector artwork, signage dimensions</w:t>
            </w:r>
          </w:p>
        </w:tc>
        <w:tc>
          <w:tcPr>
            <w:tcW w:type="pct" w:w="30%"/>
          </w:tcPr>
          <w:p>
            <w:pPr>
              <w:spacing w:after="80" w:before="80"/>
            </w:pPr>
            <w:r>
              <w:rPr>
                <w:rFonts w:ascii="Arial" w:cs="Arial" w:eastAsia="Arial" w:hAnsi="Arial"/>
                <w:b w:val="false"/>
                <w:bCs w:val="false"/>
                <w:color w:val="334155"/>
                <w:sz w:val="22"/>
                <w:szCs w:val="22"/>
              </w:rPr>
              <w:t xml:space="preserve">Artboard Dimensions, Bounding Box, XMP</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Adobe Photoshop (PSD)</w:t>
            </w:r>
          </w:p>
        </w:tc>
        <w:tc>
          <w:tcPr>
            <w:tcW w:type="pct" w:w="30%"/>
          </w:tcPr>
          <w:p>
            <w:pPr>
              <w:spacing w:after="80" w:before="80"/>
            </w:pPr>
            <w:r>
              <w:rPr>
                <w:rFonts w:ascii="Arial" w:cs="Arial" w:eastAsia="Arial" w:hAnsi="Arial"/>
                <w:b w:val="false"/>
                <w:bCs w:val="false"/>
                <w:color w:val="334155"/>
                <w:sz w:val="22"/>
                <w:szCs w:val="22"/>
              </w:rPr>
              <w:t xml:space="preserve">Multi-layer master graphics</w:t>
            </w:r>
          </w:p>
        </w:tc>
        <w:tc>
          <w:tcPr>
            <w:tcW w:type="pct" w:w="30%"/>
          </w:tcPr>
          <w:p>
            <w:pPr>
              <w:spacing w:after="80" w:before="80"/>
            </w:pPr>
            <w:r>
              <w:rPr>
                <w:rFonts w:ascii="Arial" w:cs="Arial" w:eastAsia="Arial" w:hAnsi="Arial"/>
                <w:b w:val="false"/>
                <w:bCs w:val="false"/>
                <w:color w:val="334155"/>
                <w:sz w:val="22"/>
                <w:szCs w:val="22"/>
              </w:rPr>
              <w:t xml:space="preserve">Layer Count, Blend Modes, Layer Names, ICC</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WebP</w:t>
            </w:r>
          </w:p>
        </w:tc>
        <w:tc>
          <w:tcPr>
            <w:tcW w:type="pct" w:w="30%"/>
          </w:tcPr>
          <w:p>
            <w:pPr>
              <w:spacing w:after="80" w:before="80"/>
            </w:pPr>
            <w:r>
              <w:rPr>
                <w:rFonts w:ascii="Arial" w:cs="Arial" w:eastAsia="Arial" w:hAnsi="Arial"/>
                <w:b w:val="false"/>
                <w:bCs w:val="false"/>
                <w:color w:val="334155"/>
                <w:sz w:val="22"/>
                <w:szCs w:val="22"/>
              </w:rPr>
              <w:t xml:space="preserve">Web banners</w:t>
            </w:r>
          </w:p>
        </w:tc>
        <w:tc>
          <w:tcPr>
            <w:tcW w:type="pct" w:w="30%"/>
          </w:tcPr>
          <w:p>
            <w:pPr>
              <w:spacing w:after="80" w:before="80"/>
            </w:pPr>
            <w:r>
              <w:rPr>
                <w:rFonts w:ascii="Arial" w:cs="Arial" w:eastAsia="Arial" w:hAnsi="Arial"/>
                <w:b w:val="false"/>
                <w:bCs w:val="false"/>
                <w:color w:val="334155"/>
                <w:sz w:val="22"/>
                <w:szCs w:val="22"/>
              </w:rPr>
              <w:t xml:space="preserve">Dimensions, Compression mode, Alpha channel</w:t>
            </w:r>
          </w:p>
        </w:tc>
        <w:tc>
          <w:tcPr>
            <w:tcW w:type="pct" w:w="15%"/>
          </w:tcPr>
          <w:p>
            <w:pPr>
              <w:spacing w:after="80" w:before="80"/>
            </w:pPr>
            <w:r>
              <w:rPr>
                <w:rFonts w:ascii="Arial" w:cs="Arial" w:eastAsia="Arial" w:hAnsi="Arial"/>
                <w:b w:val="false"/>
                <w:bCs w:val="false"/>
                <w:color w:val="334155"/>
                <w:sz w:val="22"/>
                <w:szCs w:val="22"/>
              </w:rPr>
              <w:t xml:space="preserve">100% Parity</w:t>
            </w:r>
          </w:p>
        </w:tc>
      </w:tr>
    </w:tbl>
    <w:p>
      <w:pPr>
        <w:spacing w:after="100" w:before="200"/>
      </w:pPr>
    </w:p>
    <w:p>
      <w:pPr>
        <w:pStyle w:val="Heading2"/>
        <w:spacing w:after="120" w:before="280"/>
      </w:pPr>
      <w:r>
        <w:rPr>
          <w:rFonts w:ascii="Arial" w:cs="Arial" w:eastAsia="Arial" w:hAnsi="Arial"/>
          <w:b/>
          <w:bCs/>
          <w:color w:val="0F172A"/>
          <w:sz w:val="26"/>
          <w:szCs w:val="26"/>
        </w:rPr>
        <w:t xml:space="preserve">Live Real-Time Benchmark Comparison:</w:t>
      </w:r>
    </w:p>
    <w:p>
      <w:pPr>
        <w:spacing w:after="140" w:before="120"/>
      </w:pPr>
      <w:r>
        <w:rPr>
          <w:rFonts w:ascii="Arial" w:cs="Arial" w:eastAsia="Arial" w:hAnsi="Arial"/>
          <w:b w:val="false"/>
          <w:bCs w:val="false"/>
          <w:i w:val="false"/>
          <w:iCs w:val="false"/>
          <w:color w:val="1E293B"/>
          <w:sz w:val="24"/>
          <w:szCs w:val="24"/>
        </w:rPr>
        <w:t xml:space="preserve">A live benchmark was conducted comparing real-time CloudConvert API responses against the in-house engine on identical assets: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8%"/>
            <w:shd w:fill="F1F5F9" w:val="clear"/>
          </w:tcPr>
          <w:p>
            <w:pPr>
              <w:spacing w:after="80" w:before="80"/>
            </w:pPr>
            <w:r>
              <w:rPr>
                <w:rFonts w:ascii="Arial" w:cs="Arial" w:eastAsia="Arial" w:hAnsi="Arial"/>
                <w:b/>
                <w:bCs/>
                <w:color w:val="0F172A"/>
                <w:sz w:val="22"/>
                <w:szCs w:val="22"/>
              </w:rPr>
              <w:t xml:space="preserve">Benchmark Dimension</w:t>
            </w:r>
          </w:p>
        </w:tc>
        <w:tc>
          <w:tcPr>
            <w:tcW w:type="pct" w:w="32%"/>
            <w:shd w:fill="F1F5F9" w:val="clear"/>
          </w:tcPr>
          <w:p>
            <w:pPr>
              <w:spacing w:after="80" w:before="80"/>
            </w:pPr>
            <w:r>
              <w:rPr>
                <w:rFonts w:ascii="Arial" w:cs="Arial" w:eastAsia="Arial" w:hAnsi="Arial"/>
                <w:b/>
                <w:bCs/>
                <w:color w:val="0F172A"/>
                <w:sz w:val="22"/>
                <w:szCs w:val="22"/>
              </w:rPr>
              <w:t xml:space="preserve">CloudConvert SaaS (Live API)</w:t>
            </w:r>
          </w:p>
        </w:tc>
        <w:tc>
          <w:tcPr>
            <w:tcW w:type="pct" w:w="22%"/>
            <w:shd w:fill="F1F5F9" w:val="clear"/>
          </w:tcPr>
          <w:p>
            <w:pPr>
              <w:spacing w:after="80" w:before="80"/>
            </w:pPr>
            <w:r>
              <w:rPr>
                <w:rFonts w:ascii="Arial" w:cs="Arial" w:eastAsia="Arial" w:hAnsi="Arial"/>
                <w:b/>
                <w:bCs/>
                <w:color w:val="0F172A"/>
                <w:sz w:val="22"/>
                <w:szCs w:val="22"/>
              </w:rPr>
              <w:t xml:space="preserve">In-House Engine (Proposed)</w:t>
            </w:r>
          </w:p>
        </w:tc>
        <w:tc>
          <w:tcPr>
            <w:tcW w:type="pct" w:w="18%"/>
            <w:shd w:fill="F1F5F9" w:val="clear"/>
          </w:tcPr>
          <w:p>
            <w:pPr>
              <w:spacing w:after="80" w:before="80"/>
            </w:pPr>
            <w:r>
              <w:rPr>
                <w:rFonts w:ascii="Arial" w:cs="Arial" w:eastAsia="Arial" w:hAnsi="Arial"/>
                <w:b/>
                <w:bCs/>
                <w:color w:val="0F172A"/>
                <w:sz w:val="22"/>
                <w:szCs w:val="22"/>
              </w:rPr>
              <w:t xml:space="preserve">Operational Advantage</w:t>
            </w:r>
          </w:p>
        </w:tc>
      </w:tr>
      <w:tr>
        <w:tc>
          <w:tcPr>
            <w:tcW w:type="pct" w:w="28%"/>
          </w:tcPr>
          <w:p>
            <w:pPr>
              <w:spacing w:after="80" w:before="80"/>
            </w:pPr>
            <w:r>
              <w:rPr>
                <w:rFonts w:ascii="Arial" w:cs="Arial" w:eastAsia="Arial" w:hAnsi="Arial"/>
                <w:b w:val="false"/>
                <w:bCs w:val="false"/>
                <w:color w:val="334155"/>
                <w:sz w:val="22"/>
                <w:szCs w:val="22"/>
              </w:rPr>
              <w:t xml:space="preserve">Processing Latency</w:t>
            </w:r>
          </w:p>
        </w:tc>
        <w:tc>
          <w:tcPr>
            <w:tcW w:type="pct" w:w="32%"/>
          </w:tcPr>
          <w:p>
            <w:pPr>
              <w:spacing w:after="80" w:before="80"/>
            </w:pPr>
            <w:r>
              <w:rPr>
                <w:rFonts w:ascii="Arial" w:cs="Arial" w:eastAsia="Arial" w:hAnsi="Arial"/>
                <w:b w:val="false"/>
                <w:bCs w:val="false"/>
                <w:color w:val="334155"/>
                <w:sz w:val="22"/>
                <w:szCs w:val="22"/>
              </w:rPr>
              <w:t xml:space="preserve">~28,990 ms (Upload + Remote Queue + Network)</w:t>
            </w:r>
          </w:p>
        </w:tc>
        <w:tc>
          <w:tcPr>
            <w:tcW w:type="pct" w:w="22%"/>
          </w:tcPr>
          <w:p>
            <w:pPr>
              <w:spacing w:after="80" w:before="80"/>
            </w:pPr>
            <w:r>
              <w:rPr>
                <w:rFonts w:ascii="Arial" w:cs="Arial" w:eastAsia="Arial" w:hAnsi="Arial"/>
                <w:b w:val="false"/>
                <w:bCs w:val="false"/>
                <w:color w:val="334155"/>
                <w:sz w:val="22"/>
                <w:szCs w:val="22"/>
              </w:rPr>
              <w:t xml:space="preserve">381 ms (Direct stream parse)</w:t>
            </w:r>
          </w:p>
        </w:tc>
        <w:tc>
          <w:tcPr>
            <w:tcW w:type="pct" w:w="18%"/>
          </w:tcPr>
          <w:p>
            <w:pPr>
              <w:spacing w:after="80" w:before="80"/>
            </w:pPr>
            <w:r>
              <w:rPr>
                <w:rFonts w:ascii="Arial" w:cs="Arial" w:eastAsia="Arial" w:hAnsi="Arial"/>
                <w:b w:val="false"/>
                <w:bCs w:val="false"/>
                <w:color w:val="334155"/>
                <w:sz w:val="22"/>
                <w:szCs w:val="22"/>
              </w:rPr>
              <w:t xml:space="preserve">76x Faster Extraction</w:t>
            </w:r>
          </w:p>
        </w:tc>
      </w:tr>
      <w:tr>
        <w:tc>
          <w:tcPr>
            <w:tcW w:type="pct" w:w="28%"/>
          </w:tcPr>
          <w:p>
            <w:pPr>
              <w:spacing w:after="80" w:before="80"/>
            </w:pPr>
            <w:r>
              <w:rPr>
                <w:rFonts w:ascii="Arial" w:cs="Arial" w:eastAsia="Arial" w:hAnsi="Arial"/>
                <w:b w:val="false"/>
                <w:bCs w:val="false"/>
                <w:color w:val="334155"/>
                <w:sz w:val="22"/>
                <w:szCs w:val="22"/>
              </w:rPr>
              <w:t xml:space="preserve">Critical Field Match Rate</w:t>
            </w:r>
          </w:p>
        </w:tc>
        <w:tc>
          <w:tcPr>
            <w:tcW w:type="pct" w:w="32%"/>
          </w:tcPr>
          <w:p>
            <w:pPr>
              <w:spacing w:after="80" w:before="80"/>
            </w:pPr>
            <w:r>
              <w:rPr>
                <w:rFonts w:ascii="Arial" w:cs="Arial" w:eastAsia="Arial" w:hAnsi="Arial"/>
                <w:b w:val="false"/>
                <w:bCs w:val="false"/>
                <w:color w:val="334155"/>
                <w:sz w:val="22"/>
                <w:szCs w:val="22"/>
              </w:rPr>
              <w:t xml:space="preserve">100%</w:t>
            </w:r>
          </w:p>
        </w:tc>
        <w:tc>
          <w:tcPr>
            <w:tcW w:type="pct" w:w="22%"/>
          </w:tcPr>
          <w:p>
            <w:pPr>
              <w:spacing w:after="80" w:before="80"/>
            </w:pPr>
            <w:r>
              <w:rPr>
                <w:rFonts w:ascii="Arial" w:cs="Arial" w:eastAsia="Arial" w:hAnsi="Arial"/>
                <w:b w:val="false"/>
                <w:bCs w:val="false"/>
                <w:color w:val="334155"/>
                <w:sz w:val="22"/>
                <w:szCs w:val="22"/>
              </w:rPr>
              <w:t xml:space="preserve">100%</w:t>
            </w:r>
          </w:p>
        </w:tc>
        <w:tc>
          <w:tcPr>
            <w:tcW w:type="pct" w:w="18%"/>
          </w:tcPr>
          <w:p>
            <w:pPr>
              <w:spacing w:after="80" w:before="80"/>
            </w:pPr>
            <w:r>
              <w:rPr>
                <w:rFonts w:ascii="Arial" w:cs="Arial" w:eastAsia="Arial" w:hAnsi="Arial"/>
                <w:b w:val="false"/>
                <w:bCs w:val="false"/>
                <w:color w:val="334155"/>
                <w:sz w:val="22"/>
                <w:szCs w:val="22"/>
              </w:rPr>
              <w:t xml:space="preserve">Exact match on all business attributes</w:t>
            </w:r>
          </w:p>
        </w:tc>
      </w:tr>
      <w:tr>
        <w:tc>
          <w:tcPr>
            <w:tcW w:type="pct" w:w="28%"/>
          </w:tcPr>
          <w:p>
            <w:pPr>
              <w:spacing w:after="80" w:before="80"/>
            </w:pPr>
            <w:r>
              <w:rPr>
                <w:rFonts w:ascii="Arial" w:cs="Arial" w:eastAsia="Arial" w:hAnsi="Arial"/>
                <w:b w:val="false"/>
                <w:bCs w:val="false"/>
                <w:color w:val="334155"/>
                <w:sz w:val="22"/>
                <w:szCs w:val="22"/>
              </w:rPr>
              <w:t xml:space="preserve">Width &amp; Height Accuracy</w:t>
            </w:r>
          </w:p>
        </w:tc>
        <w:tc>
          <w:tcPr>
            <w:tcW w:type="pct" w:w="32%"/>
          </w:tcPr>
          <w:p>
            <w:pPr>
              <w:spacing w:after="80" w:before="80"/>
            </w:pPr>
            <w:r>
              <w:rPr>
                <w:rFonts w:ascii="Arial" w:cs="Arial" w:eastAsia="Arial" w:hAnsi="Arial"/>
                <w:b w:val="false"/>
                <w:bCs w:val="false"/>
                <w:color w:val="334155"/>
                <w:sz w:val="22"/>
                <w:szCs w:val="22"/>
              </w:rPr>
              <w:t xml:space="preserve">Identical</w:t>
            </w:r>
          </w:p>
        </w:tc>
        <w:tc>
          <w:tcPr>
            <w:tcW w:type="pct" w:w="22%"/>
          </w:tcPr>
          <w:p>
            <w:pPr>
              <w:spacing w:after="80" w:before="80"/>
            </w:pPr>
            <w:r>
              <w:rPr>
                <w:rFonts w:ascii="Arial" w:cs="Arial" w:eastAsia="Arial" w:hAnsi="Arial"/>
                <w:b w:val="false"/>
                <w:bCs w:val="false"/>
                <w:color w:val="334155"/>
                <w:sz w:val="22"/>
                <w:szCs w:val="22"/>
              </w:rPr>
              <w:t xml:space="preserve">Identical</w:t>
            </w:r>
          </w:p>
        </w:tc>
        <w:tc>
          <w:tcPr>
            <w:tcW w:type="pct" w:w="18%"/>
          </w:tcPr>
          <w:p>
            <w:pPr>
              <w:spacing w:after="80" w:before="80"/>
            </w:pPr>
            <w:r>
              <w:rPr>
                <w:rFonts w:ascii="Arial" w:cs="Arial" w:eastAsia="Arial" w:hAnsi="Arial"/>
                <w:b w:val="false"/>
                <w:bCs w:val="false"/>
                <w:color w:val="334155"/>
                <w:sz w:val="22"/>
                <w:szCs w:val="22"/>
              </w:rPr>
              <w:t xml:space="preserve">100% Exact Match</w:t>
            </w:r>
          </w:p>
        </w:tc>
      </w:tr>
      <w:tr>
        <w:tc>
          <w:tcPr>
            <w:tcW w:type="pct" w:w="28%"/>
          </w:tcPr>
          <w:p>
            <w:pPr>
              <w:spacing w:after="80" w:before="80"/>
            </w:pPr>
            <w:r>
              <w:rPr>
                <w:rFonts w:ascii="Arial" w:cs="Arial" w:eastAsia="Arial" w:hAnsi="Arial"/>
                <w:b w:val="false"/>
                <w:bCs w:val="false"/>
                <w:color w:val="334155"/>
                <w:sz w:val="22"/>
                <w:szCs w:val="22"/>
              </w:rPr>
              <w:t xml:space="preserve">File Format &amp; MIME Type</w:t>
            </w:r>
          </w:p>
        </w:tc>
        <w:tc>
          <w:tcPr>
            <w:tcW w:type="pct" w:w="32%"/>
          </w:tcPr>
          <w:p>
            <w:pPr>
              <w:spacing w:after="80" w:before="80"/>
            </w:pPr>
            <w:r>
              <w:rPr>
                <w:rFonts w:ascii="Arial" w:cs="Arial" w:eastAsia="Arial" w:hAnsi="Arial"/>
                <w:b w:val="false"/>
                <w:bCs w:val="false"/>
                <w:color w:val="334155"/>
                <w:sz w:val="22"/>
                <w:szCs w:val="22"/>
              </w:rPr>
              <w:t xml:space="preserve">Identical</w:t>
            </w:r>
          </w:p>
        </w:tc>
        <w:tc>
          <w:tcPr>
            <w:tcW w:type="pct" w:w="22%"/>
          </w:tcPr>
          <w:p>
            <w:pPr>
              <w:spacing w:after="80" w:before="80"/>
            </w:pPr>
            <w:r>
              <w:rPr>
                <w:rFonts w:ascii="Arial" w:cs="Arial" w:eastAsia="Arial" w:hAnsi="Arial"/>
                <w:b w:val="false"/>
                <w:bCs w:val="false"/>
                <w:color w:val="334155"/>
                <w:sz w:val="22"/>
                <w:szCs w:val="22"/>
              </w:rPr>
              <w:t xml:space="preserve">Identical</w:t>
            </w:r>
          </w:p>
        </w:tc>
        <w:tc>
          <w:tcPr>
            <w:tcW w:type="pct" w:w="18%"/>
          </w:tcPr>
          <w:p>
            <w:pPr>
              <w:spacing w:after="80" w:before="80"/>
            </w:pPr>
            <w:r>
              <w:rPr>
                <w:rFonts w:ascii="Arial" w:cs="Arial" w:eastAsia="Arial" w:hAnsi="Arial"/>
                <w:b w:val="false"/>
                <w:bCs w:val="false"/>
                <w:color w:val="334155"/>
                <w:sz w:val="22"/>
                <w:szCs w:val="22"/>
              </w:rPr>
              <w:t xml:space="preserve">100% Exact Match</w:t>
            </w:r>
          </w:p>
        </w:tc>
      </w:tr>
      <w:tr>
        <w:tc>
          <w:tcPr>
            <w:tcW w:type="pct" w:w="28%"/>
          </w:tcPr>
          <w:p>
            <w:pPr>
              <w:spacing w:after="80" w:before="80"/>
            </w:pPr>
            <w:r>
              <w:rPr>
                <w:rFonts w:ascii="Arial" w:cs="Arial" w:eastAsia="Arial" w:hAnsi="Arial"/>
                <w:b w:val="false"/>
                <w:bCs w:val="false"/>
                <w:color w:val="334155"/>
                <w:sz w:val="22"/>
                <w:szCs w:val="22"/>
              </w:rPr>
              <w:t xml:space="preserve">Color Profiling &amp; Bit Depth</w:t>
            </w:r>
          </w:p>
        </w:tc>
        <w:tc>
          <w:tcPr>
            <w:tcW w:type="pct" w:w="32%"/>
          </w:tcPr>
          <w:p>
            <w:pPr>
              <w:spacing w:after="80" w:before="80"/>
            </w:pPr>
            <w:r>
              <w:rPr>
                <w:rFonts w:ascii="Arial" w:cs="Arial" w:eastAsia="Arial" w:hAnsi="Arial"/>
                <w:b w:val="false"/>
                <w:bCs w:val="false"/>
                <w:color w:val="334155"/>
                <w:sz w:val="22"/>
                <w:szCs w:val="22"/>
              </w:rPr>
              <w:t xml:space="preserve">Identical</w:t>
            </w:r>
          </w:p>
        </w:tc>
        <w:tc>
          <w:tcPr>
            <w:tcW w:type="pct" w:w="22%"/>
          </w:tcPr>
          <w:p>
            <w:pPr>
              <w:spacing w:after="80" w:before="80"/>
            </w:pPr>
            <w:r>
              <w:rPr>
                <w:rFonts w:ascii="Arial" w:cs="Arial" w:eastAsia="Arial" w:hAnsi="Arial"/>
                <w:b w:val="false"/>
                <w:bCs w:val="false"/>
                <w:color w:val="334155"/>
                <w:sz w:val="22"/>
                <w:szCs w:val="22"/>
              </w:rPr>
              <w:t xml:space="preserve">Identical</w:t>
            </w:r>
          </w:p>
        </w:tc>
        <w:tc>
          <w:tcPr>
            <w:tcW w:type="pct" w:w="18%"/>
          </w:tcPr>
          <w:p>
            <w:pPr>
              <w:spacing w:after="80" w:before="80"/>
            </w:pPr>
            <w:r>
              <w:rPr>
                <w:rFonts w:ascii="Arial" w:cs="Arial" w:eastAsia="Arial" w:hAnsi="Arial"/>
                <w:b w:val="false"/>
                <w:bCs w:val="false"/>
                <w:color w:val="334155"/>
                <w:sz w:val="22"/>
                <w:szCs w:val="22"/>
              </w:rPr>
              <w:t xml:space="preserve">100% Exact Match</w:t>
            </w:r>
          </w:p>
        </w:tc>
      </w:tr>
      <w:tr>
        <w:tc>
          <w:tcPr>
            <w:tcW w:type="pct" w:w="28%"/>
          </w:tcPr>
          <w:p>
            <w:pPr>
              <w:spacing w:after="80" w:before="80"/>
            </w:pPr>
            <w:r>
              <w:rPr>
                <w:rFonts w:ascii="Arial" w:cs="Arial" w:eastAsia="Arial" w:hAnsi="Arial"/>
                <w:b w:val="false"/>
                <w:bCs w:val="false"/>
                <w:color w:val="334155"/>
                <w:sz w:val="22"/>
                <w:szCs w:val="22"/>
              </w:rPr>
              <w:t xml:space="preserve">Third-Party SaaS Cost</w:t>
            </w:r>
          </w:p>
        </w:tc>
        <w:tc>
          <w:tcPr>
            <w:tcW w:type="pct" w:w="32%"/>
          </w:tcPr>
          <w:p>
            <w:pPr>
              <w:spacing w:after="80" w:before="80"/>
            </w:pPr>
            <w:r>
              <w:rPr>
                <w:rFonts w:ascii="Arial" w:cs="Arial" w:eastAsia="Arial" w:hAnsi="Arial"/>
                <w:b w:val="false"/>
                <w:bCs w:val="false"/>
                <w:color w:val="334155"/>
                <w:sz w:val="22"/>
                <w:szCs w:val="22"/>
              </w:rPr>
              <w:t xml:space="preserve">Recurring monthly credit billing</w:t>
            </w:r>
          </w:p>
        </w:tc>
        <w:tc>
          <w:tcPr>
            <w:tcW w:type="pct" w:w="22%"/>
          </w:tcPr>
          <w:p>
            <w:pPr>
              <w:spacing w:after="80" w:before="80"/>
            </w:pPr>
            <w:r>
              <w:rPr>
                <w:rFonts w:ascii="Arial" w:cs="Arial" w:eastAsia="Arial" w:hAnsi="Arial"/>
                <w:b w:val="false"/>
                <w:bCs w:val="false"/>
                <w:color w:val="334155"/>
                <w:sz w:val="22"/>
                <w:szCs w:val="22"/>
              </w:rPr>
              <w:t xml:space="preserve">$0.00</w:t>
            </w:r>
          </w:p>
        </w:tc>
        <w:tc>
          <w:tcPr>
            <w:tcW w:type="pct" w:w="18%"/>
          </w:tcPr>
          <w:p>
            <w:pPr>
              <w:spacing w:after="80" w:before="80"/>
            </w:pPr>
            <w:r>
              <w:rPr>
                <w:rFonts w:ascii="Arial" w:cs="Arial" w:eastAsia="Arial" w:hAnsi="Arial"/>
                <w:b w:val="false"/>
                <w:bCs w:val="false"/>
                <w:color w:val="334155"/>
                <w:sz w:val="22"/>
                <w:szCs w:val="22"/>
              </w:rPr>
              <w:t xml:space="preserve">Complete Cost Elimination</w:t>
            </w:r>
          </w:p>
        </w:tc>
      </w:tr>
    </w:tbl>
    <w:p>
      <w:pPr>
        <w:spacing w:after="100" w:before="200"/>
      </w:pPr>
    </w:p>
    <w:p>
      <w:pPr>
        <w:pStyle w:val="Heading1"/>
        <w:spacing w:after="120" w:before="280"/>
      </w:pPr>
      <w:r>
        <w:rPr>
          <w:rFonts w:ascii="Arial" w:cs="Arial" w:eastAsia="Arial" w:hAnsi="Arial"/>
          <w:b/>
          <w:bCs/>
          <w:color w:val="0F172A"/>
          <w:sz w:val="30"/>
          <w:szCs w:val="30"/>
        </w:rPr>
        <w:t xml:space="preserve">4. Architectural Enhancements &amp; Stability</w:t>
      </w:r>
    </w:p>
    <w:p>
      <w:pPr>
        <w:spacing w:after="140" w:before="120"/>
      </w:pPr>
      <w:r>
        <w:rPr>
          <w:rFonts w:ascii="Arial" w:cs="Arial" w:eastAsia="Arial" w:hAnsi="Arial"/>
          <w:b w:val="false"/>
          <w:bCs w:val="false"/>
          <w:i w:val="false"/>
          <w:iCs w:val="false"/>
          <w:color w:val="1E293B"/>
          <w:sz w:val="24"/>
          <w:szCs w:val="24"/>
        </w:rPr>
        <w:t xml:space="preserve">In addition to replacing the external service call inside the Lambda, we recommend adding an Amazon SQS message queue buffer between the backend API and the Lambda:</w:t>
      </w:r>
    </w:p>
    <w:p>
      <w:pPr>
        <w:spacing w:after="140" w:before="120"/>
      </w:pPr>
      <w:r>
        <w:rPr>
          <w:rFonts w:ascii="Arial" w:cs="Arial" w:eastAsia="Arial" w:hAnsi="Arial"/>
          <w:b w:val="false"/>
          <w:bCs w:val="false"/>
          <w:i w:val="false"/>
          <w:iCs w:val="false"/>
          <w:color w:val="1E293B"/>
          <w:sz w:val="24"/>
          <w:szCs w:val="24"/>
        </w:rPr>
        <w:t xml:space="preserve">• Burst Upload Protection: During large campaign launches where multiple assets are uploaded simultaneously, the queue cleanly buffers incoming jobs. This ensures the Lambda processes files steadily without spiking concurrent database connections.</w:t>
      </w:r>
    </w:p>
    <w:p>
      <w:pPr>
        <w:spacing w:after="140" w:before="120"/>
      </w:pPr>
      <w:r>
        <w:rPr>
          <w:rFonts w:ascii="Arial" w:cs="Arial" w:eastAsia="Arial" w:hAnsi="Arial"/>
          <w:b w:val="false"/>
          <w:bCs w:val="false"/>
          <w:i w:val="false"/>
          <w:iCs w:val="false"/>
          <w:color w:val="1E293B"/>
          <w:sz w:val="24"/>
          <w:szCs w:val="24"/>
        </w:rPr>
        <w:t xml:space="preserve">• Automated Error Handling: If an invalid or corrupted file is uploaded, the queue safely routes it to a Dead-Letter Queue (DLQ) for alerting, without interrupting the processing of other assets.</w:t>
      </w:r>
    </w:p>
    <w:p>
      <w:pPr>
        <w:spacing w:after="140" w:before="120"/>
      </w:pPr>
      <w:r>
        <w:rPr>
          <w:rFonts w:ascii="Arial" w:cs="Arial" w:eastAsia="Arial" w:hAnsi="Arial"/>
          <w:b w:val="false"/>
          <w:bCs w:val="false"/>
          <w:i w:val="false"/>
          <w:iCs w:val="false"/>
          <w:color w:val="1E293B"/>
          <w:sz w:val="24"/>
          <w:szCs w:val="24"/>
        </w:rPr>
        <w:t xml:space="preserve">• Enhanced Security: Media assets remain entirely inside our private AWS environment and are never transmitted to external third-party infrastructure.</w:t>
      </w:r>
    </w:p>
    <w:p>
      <w:pPr>
        <w:pStyle w:val="Heading1"/>
        <w:spacing w:after="120" w:before="280"/>
      </w:pPr>
      <w:r>
        <w:rPr>
          <w:rFonts w:ascii="Arial" w:cs="Arial" w:eastAsia="Arial" w:hAnsi="Arial"/>
          <w:b/>
          <w:bCs/>
          <w:color w:val="0F172A"/>
          <w:sz w:val="30"/>
          <w:szCs w:val="30"/>
        </w:rPr>
        <w:t xml:space="preserve">5. Strategic Business Impact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F1F5F9" w:val="clear"/>
          </w:tcPr>
          <w:p>
            <w:pPr>
              <w:spacing w:after="80" w:before="80"/>
            </w:pPr>
            <w:r>
              <w:rPr>
                <w:rFonts w:ascii="Arial" w:cs="Arial" w:eastAsia="Arial" w:hAnsi="Arial"/>
                <w:b/>
                <w:bCs/>
                <w:color w:val="0F172A"/>
                <w:sz w:val="22"/>
                <w:szCs w:val="22"/>
              </w:rPr>
              <w:t xml:space="preserve">Strategic Area</w:t>
            </w:r>
          </w:p>
        </w:tc>
        <w:tc>
          <w:tcPr>
            <w:tcW w:type="pct" w:w="28%"/>
            <w:shd w:fill="F1F5F9" w:val="clear"/>
          </w:tcPr>
          <w:p>
            <w:pPr>
              <w:spacing w:after="80" w:before="80"/>
            </w:pPr>
            <w:r>
              <w:rPr>
                <w:rFonts w:ascii="Arial" w:cs="Arial" w:eastAsia="Arial" w:hAnsi="Arial"/>
                <w:b/>
                <w:bCs/>
                <w:color w:val="0F172A"/>
                <w:sz w:val="22"/>
                <w:szCs w:val="22"/>
              </w:rPr>
              <w:t xml:space="preserve">Current State (CloudConvert SaaS)</w:t>
            </w:r>
          </w:p>
        </w:tc>
        <w:tc>
          <w:tcPr>
            <w:tcW w:type="pct" w:w="25%"/>
            <w:shd w:fill="F1F5F9" w:val="clear"/>
          </w:tcPr>
          <w:p>
            <w:pPr>
              <w:spacing w:after="80" w:before="80"/>
            </w:pPr>
            <w:r>
              <w:rPr>
                <w:rFonts w:ascii="Arial" w:cs="Arial" w:eastAsia="Arial" w:hAnsi="Arial"/>
                <w:b/>
                <w:bCs/>
                <w:color w:val="0F172A"/>
                <w:sz w:val="22"/>
                <w:szCs w:val="22"/>
              </w:rPr>
              <w:t xml:space="preserve">Proposed State (In-House Engine)</w:t>
            </w:r>
          </w:p>
        </w:tc>
        <w:tc>
          <w:tcPr>
            <w:tcW w:type="pct" w:w="25%"/>
            <w:shd w:fill="F1F5F9" w:val="clear"/>
          </w:tcPr>
          <w:p>
            <w:pPr>
              <w:spacing w:after="80" w:before="80"/>
            </w:pPr>
            <w:r>
              <w:rPr>
                <w:rFonts w:ascii="Arial" w:cs="Arial" w:eastAsia="Arial" w:hAnsi="Arial"/>
                <w:b/>
                <w:bCs/>
                <w:color w:val="0F172A"/>
                <w:sz w:val="22"/>
                <w:szCs w:val="22"/>
              </w:rPr>
              <w:t xml:space="preserve">Business Benefit</w:t>
            </w:r>
          </w:p>
        </w:tc>
      </w:tr>
      <w:tr>
        <w:tc>
          <w:tcPr>
            <w:tcW w:type="pct" w:w="22%"/>
          </w:tcPr>
          <w:p>
            <w:pPr>
              <w:spacing w:after="80" w:before="80"/>
            </w:pPr>
            <w:r>
              <w:rPr>
                <w:rFonts w:ascii="Arial" w:cs="Arial" w:eastAsia="Arial" w:hAnsi="Arial"/>
                <w:b w:val="false"/>
                <w:bCs w:val="false"/>
                <w:color w:val="334155"/>
                <w:sz w:val="22"/>
                <w:szCs w:val="22"/>
              </w:rPr>
              <w:t xml:space="preserve">Third-Party SaaS Cost</w:t>
            </w:r>
          </w:p>
        </w:tc>
        <w:tc>
          <w:tcPr>
            <w:tcW w:type="pct" w:w="28%"/>
          </w:tcPr>
          <w:p>
            <w:pPr>
              <w:spacing w:after="80" w:before="80"/>
            </w:pPr>
            <w:r>
              <w:rPr>
                <w:rFonts w:ascii="Arial" w:cs="Arial" w:eastAsia="Arial" w:hAnsi="Arial"/>
                <w:b w:val="false"/>
                <w:bCs w:val="false"/>
                <w:color w:val="334155"/>
                <w:sz w:val="22"/>
                <w:szCs w:val="22"/>
              </w:rPr>
              <w:t xml:space="preserve">Recurring monthly credit billing</w:t>
            </w:r>
          </w:p>
        </w:tc>
        <w:tc>
          <w:tcPr>
            <w:tcW w:type="pct" w:w="25%"/>
          </w:tcPr>
          <w:p>
            <w:pPr>
              <w:spacing w:after="80" w:before="80"/>
            </w:pPr>
            <w:r>
              <w:rPr>
                <w:rFonts w:ascii="Arial" w:cs="Arial" w:eastAsia="Arial" w:hAnsi="Arial"/>
                <w:b w:val="false"/>
                <w:bCs w:val="false"/>
                <w:color w:val="334155"/>
                <w:sz w:val="22"/>
                <w:szCs w:val="22"/>
              </w:rPr>
              <w:t xml:space="preserve">$0.00 / month</w:t>
            </w:r>
          </w:p>
        </w:tc>
        <w:tc>
          <w:tcPr>
            <w:tcW w:type="pct" w:w="25%"/>
          </w:tcPr>
          <w:p>
            <w:pPr>
              <w:spacing w:after="80" w:before="80"/>
            </w:pPr>
            <w:r>
              <w:rPr>
                <w:rFonts w:ascii="Arial" w:cs="Arial" w:eastAsia="Arial" w:hAnsi="Arial"/>
                <w:b w:val="false"/>
                <w:bCs w:val="false"/>
                <w:color w:val="334155"/>
                <w:sz w:val="22"/>
                <w:szCs w:val="22"/>
              </w:rPr>
              <w:t xml:space="preserve">Direct operational savings.</w:t>
            </w:r>
          </w:p>
        </w:tc>
      </w:tr>
      <w:tr>
        <w:tc>
          <w:tcPr>
            <w:tcW w:type="pct" w:w="22%"/>
          </w:tcPr>
          <w:p>
            <w:pPr>
              <w:spacing w:after="80" w:before="80"/>
            </w:pPr>
            <w:r>
              <w:rPr>
                <w:rFonts w:ascii="Arial" w:cs="Arial" w:eastAsia="Arial" w:hAnsi="Arial"/>
                <w:b w:val="false"/>
                <w:bCs w:val="false"/>
                <w:color w:val="334155"/>
                <w:sz w:val="22"/>
                <w:szCs w:val="22"/>
              </w:rPr>
              <w:t xml:space="preserve">Infrastructure Cost</w:t>
            </w:r>
          </w:p>
        </w:tc>
        <w:tc>
          <w:tcPr>
            <w:tcW w:type="pct" w:w="28%"/>
          </w:tcPr>
          <w:p>
            <w:pPr>
              <w:spacing w:after="80" w:before="80"/>
            </w:pPr>
            <w:r>
              <w:rPr>
                <w:rFonts w:ascii="Arial" w:cs="Arial" w:eastAsia="Arial" w:hAnsi="Arial"/>
                <w:b w:val="false"/>
                <w:bCs w:val="false"/>
                <w:color w:val="334155"/>
                <w:sz w:val="22"/>
                <w:szCs w:val="22"/>
              </w:rPr>
              <w:t xml:space="preserve">Existing Lambda</w:t>
            </w:r>
          </w:p>
        </w:tc>
        <w:tc>
          <w:tcPr>
            <w:tcW w:type="pct" w:w="25%"/>
          </w:tcPr>
          <w:p>
            <w:pPr>
              <w:spacing w:after="80" w:before="80"/>
            </w:pPr>
            <w:r>
              <w:rPr>
                <w:rFonts w:ascii="Arial" w:cs="Arial" w:eastAsia="Arial" w:hAnsi="Arial"/>
                <w:b w:val="false"/>
                <w:bCs w:val="false"/>
                <w:color w:val="334155"/>
                <w:sz w:val="22"/>
                <w:szCs w:val="22"/>
              </w:rPr>
              <w:t xml:space="preserve">Existing Lambda (No change)</w:t>
            </w:r>
          </w:p>
        </w:tc>
        <w:tc>
          <w:tcPr>
            <w:tcW w:type="pct" w:w="25%"/>
          </w:tcPr>
          <w:p>
            <w:pPr>
              <w:spacing w:after="80" w:before="80"/>
            </w:pPr>
            <w:r>
              <w:rPr>
                <w:rFonts w:ascii="Arial" w:cs="Arial" w:eastAsia="Arial" w:hAnsi="Arial"/>
                <w:b w:val="false"/>
                <w:bCs w:val="false"/>
                <w:color w:val="334155"/>
                <w:sz w:val="22"/>
                <w:szCs w:val="22"/>
              </w:rPr>
              <w:t xml:space="preserve">Zero added compute spend.</w:t>
            </w:r>
          </w:p>
        </w:tc>
      </w:tr>
      <w:tr>
        <w:tc>
          <w:tcPr>
            <w:tcW w:type="pct" w:w="22%"/>
          </w:tcPr>
          <w:p>
            <w:pPr>
              <w:spacing w:after="80" w:before="80"/>
            </w:pPr>
            <w:r>
              <w:rPr>
                <w:rFonts w:ascii="Arial" w:cs="Arial" w:eastAsia="Arial" w:hAnsi="Arial"/>
                <w:b w:val="false"/>
                <w:bCs w:val="false"/>
                <w:color w:val="334155"/>
                <w:sz w:val="22"/>
                <w:szCs w:val="22"/>
              </w:rPr>
              <w:t xml:space="preserve">Processing Speed</w:t>
            </w:r>
          </w:p>
        </w:tc>
        <w:tc>
          <w:tcPr>
            <w:tcW w:type="pct" w:w="28%"/>
          </w:tcPr>
          <w:p>
            <w:pPr>
              <w:spacing w:after="80" w:before="80"/>
            </w:pPr>
            <w:r>
              <w:rPr>
                <w:rFonts w:ascii="Arial" w:cs="Arial" w:eastAsia="Arial" w:hAnsi="Arial"/>
                <w:b w:val="false"/>
                <w:bCs w:val="false"/>
                <w:color w:val="334155"/>
                <w:sz w:val="22"/>
                <w:szCs w:val="22"/>
              </w:rPr>
              <w:t xml:space="preserve">2 to 28 seconds per asset</w:t>
            </w:r>
          </w:p>
        </w:tc>
        <w:tc>
          <w:tcPr>
            <w:tcW w:type="pct" w:w="25%"/>
          </w:tcPr>
          <w:p>
            <w:pPr>
              <w:spacing w:after="80" w:before="80"/>
            </w:pPr>
            <w:r>
              <w:rPr>
                <w:rFonts w:ascii="Arial" w:cs="Arial" w:eastAsia="Arial" w:hAnsi="Arial"/>
                <w:b w:val="false"/>
                <w:bCs w:val="false"/>
                <w:color w:val="334155"/>
                <w:sz w:val="22"/>
                <w:szCs w:val="22"/>
              </w:rPr>
              <w:t xml:space="preserve">Under 400 milliseconds</w:t>
            </w:r>
          </w:p>
        </w:tc>
        <w:tc>
          <w:tcPr>
            <w:tcW w:type="pct" w:w="25%"/>
          </w:tcPr>
          <w:p>
            <w:pPr>
              <w:spacing w:after="80" w:before="80"/>
            </w:pPr>
            <w:r>
              <w:rPr>
                <w:rFonts w:ascii="Arial" w:cs="Arial" w:eastAsia="Arial" w:hAnsi="Arial"/>
                <w:b w:val="false"/>
                <w:bCs w:val="false"/>
                <w:color w:val="334155"/>
                <w:sz w:val="22"/>
                <w:szCs w:val="22"/>
              </w:rPr>
              <w:t xml:space="preserve">Snappier UI and faster asset availability.</w:t>
            </w:r>
          </w:p>
        </w:tc>
      </w:tr>
      <w:tr>
        <w:tc>
          <w:tcPr>
            <w:tcW w:type="pct" w:w="22%"/>
          </w:tcPr>
          <w:p>
            <w:pPr>
              <w:spacing w:after="80" w:before="80"/>
            </w:pPr>
            <w:r>
              <w:rPr>
                <w:rFonts w:ascii="Arial" w:cs="Arial" w:eastAsia="Arial" w:hAnsi="Arial"/>
                <w:b w:val="false"/>
                <w:bCs w:val="false"/>
                <w:color w:val="334155"/>
                <w:sz w:val="22"/>
                <w:szCs w:val="22"/>
              </w:rPr>
              <w:t xml:space="preserve">Data Consistency</w:t>
            </w:r>
          </w:p>
        </w:tc>
        <w:tc>
          <w:tcPr>
            <w:tcW w:type="pct" w:w="28%"/>
          </w:tcPr>
          <w:p>
            <w:pPr>
              <w:spacing w:after="80" w:before="80"/>
            </w:pPr>
            <w:r>
              <w:rPr>
                <w:rFonts w:ascii="Arial" w:cs="Arial" w:eastAsia="Arial" w:hAnsi="Arial"/>
                <w:b w:val="false"/>
                <w:bCs w:val="false"/>
                <w:color w:val="334155"/>
                <w:sz w:val="22"/>
                <w:szCs w:val="22"/>
              </w:rPr>
              <w:t xml:space="preserve">Vulnerable to unannounced upstream changes</w:t>
            </w:r>
          </w:p>
        </w:tc>
        <w:tc>
          <w:tcPr>
            <w:tcW w:type="pct" w:w="25%"/>
          </w:tcPr>
          <w:p>
            <w:pPr>
              <w:spacing w:after="80" w:before="80"/>
            </w:pPr>
            <w:r>
              <w:rPr>
                <w:rFonts w:ascii="Arial" w:cs="Arial" w:eastAsia="Arial" w:hAnsi="Arial"/>
                <w:b w:val="false"/>
                <w:bCs w:val="false"/>
                <w:color w:val="334155"/>
                <w:sz w:val="22"/>
                <w:szCs w:val="22"/>
              </w:rPr>
              <w:t xml:space="preserve">Fixed, version-controlled schema</w:t>
            </w:r>
          </w:p>
        </w:tc>
        <w:tc>
          <w:tcPr>
            <w:tcW w:type="pct" w:w="25%"/>
          </w:tcPr>
          <w:p>
            <w:pPr>
              <w:spacing w:after="80" w:before="80"/>
            </w:pPr>
            <w:r>
              <w:rPr>
                <w:rFonts w:ascii="Arial" w:cs="Arial" w:eastAsia="Arial" w:hAnsi="Arial"/>
                <w:b w:val="false"/>
                <w:bCs w:val="false"/>
                <w:color w:val="334155"/>
                <w:sz w:val="22"/>
                <w:szCs w:val="22"/>
              </w:rPr>
              <w:t xml:space="preserve">Eliminates code complexity and maintenance.</w:t>
            </w:r>
          </w:p>
        </w:tc>
      </w:tr>
      <w:tr>
        <w:tc>
          <w:tcPr>
            <w:tcW w:type="pct" w:w="22%"/>
          </w:tcPr>
          <w:p>
            <w:pPr>
              <w:spacing w:after="80" w:before="80"/>
            </w:pPr>
            <w:r>
              <w:rPr>
                <w:rFonts w:ascii="Arial" w:cs="Arial" w:eastAsia="Arial" w:hAnsi="Arial"/>
                <w:b w:val="false"/>
                <w:bCs w:val="false"/>
                <w:color w:val="334155"/>
                <w:sz w:val="22"/>
                <w:szCs w:val="22"/>
              </w:rPr>
              <w:t xml:space="preserve">Queue Stability</w:t>
            </w:r>
          </w:p>
        </w:tc>
        <w:tc>
          <w:tcPr>
            <w:tcW w:type="pct" w:w="28%"/>
          </w:tcPr>
          <w:p>
            <w:pPr>
              <w:spacing w:after="80" w:before="80"/>
            </w:pPr>
            <w:r>
              <w:rPr>
                <w:rFonts w:ascii="Arial" w:cs="Arial" w:eastAsia="Arial" w:hAnsi="Arial"/>
                <w:b w:val="false"/>
                <w:bCs w:val="false"/>
                <w:color w:val="334155"/>
                <w:sz w:val="22"/>
                <w:szCs w:val="22"/>
              </w:rPr>
              <w:t xml:space="preserve">Direct invocation model</w:t>
            </w:r>
          </w:p>
        </w:tc>
        <w:tc>
          <w:tcPr>
            <w:tcW w:type="pct" w:w="25%"/>
          </w:tcPr>
          <w:p>
            <w:pPr>
              <w:spacing w:after="80" w:before="80"/>
            </w:pPr>
            <w:r>
              <w:rPr>
                <w:rFonts w:ascii="Arial" w:cs="Arial" w:eastAsia="Arial" w:hAnsi="Arial"/>
                <w:b w:val="false"/>
                <w:bCs w:val="false"/>
                <w:color w:val="334155"/>
                <w:sz w:val="22"/>
                <w:szCs w:val="22"/>
              </w:rPr>
              <w:t xml:space="preserve">Message queue buffer (Amazon SQS)</w:t>
            </w:r>
          </w:p>
        </w:tc>
        <w:tc>
          <w:tcPr>
            <w:tcW w:type="pct" w:w="25%"/>
          </w:tcPr>
          <w:p>
            <w:pPr>
              <w:spacing w:after="80" w:before="80"/>
            </w:pPr>
            <w:r>
              <w:rPr>
                <w:rFonts w:ascii="Arial" w:cs="Arial" w:eastAsia="Arial" w:hAnsi="Arial"/>
                <w:b w:val="false"/>
                <w:bCs w:val="false"/>
                <w:color w:val="334155"/>
                <w:sz w:val="22"/>
                <w:szCs w:val="22"/>
              </w:rPr>
              <w:t xml:space="preserve">Higher reliability during peak upload volumes.</w:t>
            </w:r>
          </w:p>
        </w:tc>
      </w:tr>
      <w:tr>
        <w:tc>
          <w:tcPr>
            <w:tcW w:type="pct" w:w="22%"/>
          </w:tcPr>
          <w:p>
            <w:pPr>
              <w:spacing w:after="80" w:before="80"/>
            </w:pPr>
            <w:r>
              <w:rPr>
                <w:rFonts w:ascii="Arial" w:cs="Arial" w:eastAsia="Arial" w:hAnsi="Arial"/>
                <w:b w:val="false"/>
                <w:bCs w:val="false"/>
                <w:color w:val="334155"/>
                <w:sz w:val="22"/>
                <w:szCs w:val="22"/>
              </w:rPr>
              <w:t xml:space="preserve">Data Privacy</w:t>
            </w:r>
          </w:p>
        </w:tc>
        <w:tc>
          <w:tcPr>
            <w:tcW w:type="pct" w:w="28%"/>
          </w:tcPr>
          <w:p>
            <w:pPr>
              <w:spacing w:after="80" w:before="80"/>
            </w:pPr>
            <w:r>
              <w:rPr>
                <w:rFonts w:ascii="Arial" w:cs="Arial" w:eastAsia="Arial" w:hAnsi="Arial"/>
                <w:b w:val="false"/>
                <w:bCs w:val="false"/>
                <w:color w:val="334155"/>
                <w:sz w:val="22"/>
                <w:szCs w:val="22"/>
              </w:rPr>
              <w:t xml:space="preserve">Files sent to external third-party servers</w:t>
            </w:r>
          </w:p>
        </w:tc>
        <w:tc>
          <w:tcPr>
            <w:tcW w:type="pct" w:w="25%"/>
          </w:tcPr>
          <w:p>
            <w:pPr>
              <w:spacing w:after="80" w:before="80"/>
            </w:pPr>
            <w:r>
              <w:rPr>
                <w:rFonts w:ascii="Arial" w:cs="Arial" w:eastAsia="Arial" w:hAnsi="Arial"/>
                <w:b w:val="false"/>
                <w:bCs w:val="false"/>
                <w:color w:val="334155"/>
                <w:sz w:val="22"/>
                <w:szCs w:val="22"/>
              </w:rPr>
              <w:t xml:space="preserve">Contained within private AWS cloud</w:t>
            </w:r>
          </w:p>
        </w:tc>
        <w:tc>
          <w:tcPr>
            <w:tcW w:type="pct" w:w="25%"/>
          </w:tcPr>
          <w:p>
            <w:pPr>
              <w:spacing w:after="80" w:before="80"/>
            </w:pPr>
            <w:r>
              <w:rPr>
                <w:rFonts w:ascii="Arial" w:cs="Arial" w:eastAsia="Arial" w:hAnsi="Arial"/>
                <w:b w:val="false"/>
                <w:bCs w:val="false"/>
                <w:color w:val="334155"/>
                <w:sz w:val="22"/>
                <w:szCs w:val="22"/>
              </w:rPr>
              <w:t xml:space="preserve">Full data privacy and compliance.</w:t>
            </w:r>
          </w:p>
        </w:tc>
      </w:tr>
    </w:tbl>
    <w:p>
      <w:pPr>
        <w:spacing w:after="100" w:before="200"/>
      </w:pPr>
    </w:p>
    <w:p>
      <w:pPr>
        <w:pStyle w:val="Heading1"/>
        <w:spacing w:after="120" w:before="280"/>
      </w:pPr>
      <w:r>
        <w:rPr>
          <w:rFonts w:ascii="Arial" w:cs="Arial" w:eastAsia="Arial" w:hAnsi="Arial"/>
          <w:b/>
          <w:bCs/>
          <w:color w:val="0F172A"/>
          <w:sz w:val="30"/>
          <w:szCs w:val="30"/>
        </w:rPr>
        <w:t xml:space="preserve">6. Conclusion</w:t>
      </w:r>
    </w:p>
    <w:p>
      <w:pPr>
        <w:spacing w:after="140" w:before="120"/>
      </w:pPr>
      <w:r>
        <w:rPr>
          <w:rFonts w:ascii="Arial" w:cs="Arial" w:eastAsia="Arial" w:hAnsi="Arial"/>
          <w:b w:val="false"/>
          <w:bCs w:val="false"/>
          <w:i w:val="false"/>
          <w:iCs w:val="false"/>
          <w:color w:val="1E293B"/>
          <w:sz w:val="24"/>
          <w:szCs w:val="24"/>
        </w:rPr>
        <w:t xml:space="preserve">Replacing the external CloudConvert integration with an in-house engine inside our existing Lambda resolves the long-standing schema drift challenge, accelerates asset ingestion from multi-second queues to sub-second execution, eliminates recurring SaaS expenses, and introduces message queue buffering for peak upload stability.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2026-08-28T08:08:23.316Z</dcterms:created>
  <dcterms:modified xsi:type="dcterms:W3CDTF">2026-08-28T08:08:23.326Z</dcterms:modified>
</cp:coreProperties>
</file>

<file path=docProps/custom.xml><?xml version="1.0" encoding="utf-8"?>
<Properties xmlns="http://schemas.openxmlformats.org/officeDocument/2006/custom-properties" xmlns:vt="http://schemas.openxmlformats.org/officeDocument/2006/docPropsVTypes"/>
</file>