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0F172A"/>
          <w:sz w:val="36"/>
          <w:szCs w:val="36"/>
        </w:rPr>
        <w:t xml:space="preserve">Executive Proposal: Standardizing Media Metadata Extraction via In-House Engine</w:t>
      </w:r>
    </w:p>
    <w:p>
      <w:pPr>
        <w:spacing w:after="240"/>
      </w:pPr>
      <w:r>
        <w:rPr>
          <w:rFonts w:ascii="Arial" w:cs="Arial" w:eastAsia="Arial" w:hAnsi="Arial"/>
          <w:b/>
          <w:bCs/>
          <w:color w:val="475569"/>
          <w:sz w:val="22"/>
          <w:szCs w:val="22"/>
        </w:rPr>
        <w:t xml:space="preserve">Status: </w:t>
      </w:r>
      <w:r>
        <w:rPr>
          <w:rFonts w:ascii="Arial" w:cs="Arial" w:eastAsia="Arial" w:hAnsi="Arial"/>
          <w:color w:val="475569"/>
          <w:sz w:val="22"/>
          <w:szCs w:val="22"/>
        </w:rPr>
        <w:t xml:space="preserve">Proposal &amp; Validated POC  |  </w:t>
      </w:r>
      <w:r>
        <w:rPr>
          <w:rFonts w:ascii="Arial" w:cs="Arial" w:eastAsia="Arial" w:hAnsi="Arial"/>
          <w:b/>
          <w:bCs/>
          <w:color w:val="475569"/>
          <w:sz w:val="22"/>
          <w:szCs w:val="22"/>
        </w:rPr>
        <w:t xml:space="preserve">Date: </w:t>
      </w:r>
      <w:r>
        <w:rPr>
          <w:rFonts w:ascii="Arial" w:cs="Arial" w:eastAsia="Arial" w:hAnsi="Arial"/>
          <w:color w:val="475569"/>
          <w:sz w:val="22"/>
          <w:szCs w:val="22"/>
        </w:rPr>
        <w:t xml:space="preserve">August 2026</w:t>
      </w:r>
    </w:p>
    <w:p>
      <w:pPr>
        <w:pStyle w:val="Heading1"/>
        <w:spacing w:after="100" w:before="260"/>
      </w:pPr>
      <w:r>
        <w:rPr>
          <w:rFonts w:ascii="Arial" w:cs="Arial" w:eastAsia="Arial" w:hAnsi="Arial"/>
          <w:b/>
          <w:bCs/>
          <w:color w:val="0F172A"/>
          <w:sz w:val="28"/>
          <w:szCs w:val="28"/>
        </w:rPr>
        <w:t xml:space="preserve">1. Executive Summary</w:t>
      </w:r>
    </w:p>
    <w:p>
      <w:pPr>
        <w:spacing w:after="120" w:before="100"/>
      </w:pPr>
      <w:r>
        <w:rPr>
          <w:rFonts w:ascii="Arial" w:cs="Arial" w:eastAsia="Arial" w:hAnsi="Arial"/>
          <w:b w:val="false"/>
          <w:bCs w:val="false"/>
          <w:i w:val="false"/>
          <w:iCs w:val="false"/>
          <w:color w:val="1E293B"/>
          <w:sz w:val="24"/>
          <w:szCs w:val="24"/>
        </w:rPr>
        <w:t xml:space="preserve">Over the past six years, The Vault platform has utilized CloudConvert (a third-party SaaS service) to extract technical file information (such as image dimensions, video durations, audio/video codecs, framerates, color spaces, and document page specifications) from uploaded media assets. This information is saved directly to our database and powers downstream processes such as asset validation, automated layout rendering, and media delivery.</w:t>
      </w:r>
    </w:p>
    <w:p>
      <w:pPr>
        <w:spacing w:after="120" w:before="100"/>
      </w:pPr>
      <w:r>
        <w:rPr>
          <w:rFonts w:ascii="Arial" w:cs="Arial" w:eastAsia="Arial" w:hAnsi="Arial"/>
          <w:b w:val="false"/>
          <w:bCs w:val="false"/>
          <w:i w:val="false"/>
          <w:iCs w:val="false"/>
          <w:color w:val="1E293B"/>
          <w:sz w:val="24"/>
          <w:szCs w:val="24"/>
        </w:rPr>
        <w:t xml:space="preserve">Operating an external third-party service for metadata extraction over an extended period has introduced key operational challenges:</w:t>
      </w:r>
    </w:p>
    <w:p>
      <w:pPr>
        <w:spacing w:after="120" w:before="100"/>
      </w:pPr>
      <w:r>
        <w:rPr>
          <w:rFonts w:ascii="Arial" w:cs="Arial" w:eastAsia="Arial" w:hAnsi="Arial"/>
          <w:b w:val="false"/>
          <w:bCs w:val="false"/>
          <w:i w:val="false"/>
          <w:iCs w:val="false"/>
          <w:color w:val="1E293B"/>
          <w:sz w:val="24"/>
          <w:szCs w:val="24"/>
        </w:rPr>
        <w:t xml:space="preserve">• Uncontrolled Upstream Schema Drift: CloudConvert updates its underlying extraction libraries automatically without advance notice or version control. These updates have introduced subtle changes to metadata property names over time, requiring our engineering team to continually write complex backwards-compatibility code (such as checking multiple variations of dimensions like ImageWidth, width, ImageSize, and MaxPageSizeW) to ensure older campaign assets do not break modern rendering workflows.</w:t>
      </w:r>
    </w:p>
    <w:p>
      <w:pPr>
        <w:spacing w:after="120" w:before="100"/>
      </w:pPr>
      <w:r>
        <w:rPr>
          <w:rFonts w:ascii="Arial" w:cs="Arial" w:eastAsia="Arial" w:hAnsi="Arial"/>
          <w:b w:val="false"/>
          <w:bCs w:val="false"/>
          <w:i w:val="false"/>
          <w:iCs w:val="false"/>
          <w:color w:val="1E293B"/>
          <w:sz w:val="24"/>
          <w:szCs w:val="24"/>
        </w:rPr>
        <w:t xml:space="preserve">• Operational Latency &amp; Webhook Dependency: External API roundtrips and remote queuing routinely add between 2 and 28 seconds of latency per asset, keeping Lambda functions alive longer and introducing an external network dependency into core ingestion.</w:t>
      </w:r>
    </w:p>
    <w:p>
      <w:pPr>
        <w:spacing w:after="120" w:before="100"/>
      </w:pPr>
      <w:r>
        <w:rPr>
          <w:rFonts w:ascii="Arial" w:cs="Arial" w:eastAsia="Arial" w:hAnsi="Arial"/>
          <w:b w:val="false"/>
          <w:bCs w:val="false"/>
          <w:i w:val="false"/>
          <w:iCs w:val="false"/>
          <w:color w:val="1E293B"/>
          <w:sz w:val="24"/>
          <w:szCs w:val="24"/>
        </w:rPr>
        <w:t xml:space="preserve">• Recurring SaaS Expense: Continuous per-conversion subscription and credit costs for reading basic file header data.</w:t>
      </w:r>
    </w:p>
    <w:p>
      <w:pPr>
        <w:spacing w:after="120" w:before="100"/>
      </w:pPr>
      <w:r>
        <w:rPr>
          <w:rFonts w:ascii="Arial" w:cs="Arial" w:eastAsia="Arial" w:hAnsi="Arial"/>
          <w:b/>
          <w:bCs/>
          <w:i w:val="false"/>
          <w:iCs w:val="false"/>
          <w:color w:val="1E293B"/>
          <w:sz w:val="24"/>
          <w:szCs w:val="24"/>
        </w:rPr>
        <w:t xml:space="preserve">Proposed Solution: We propose replacing the CloudConvert integration inside our existing metadata extraction AWS Lambda with a dedicated, in-house extraction engine (ExifTool). Because the Lambda infrastructure is already provisioned and executes asynchronously, infrastructure compute costs remain virtually unchanged, while completely eliminating external SaaS billing. To further improve resilience, we recommend introducing a standard message queue (Amazon SQS) between the backend and Lambda to buffer high-volume upload bursts.</w:t>
      </w:r>
    </w:p>
    <w:p>
      <w:pPr>
        <w:pStyle w:val="Heading1"/>
        <w:spacing w:after="100" w:before="260"/>
      </w:pPr>
      <w:r>
        <w:rPr>
          <w:rFonts w:ascii="Arial" w:cs="Arial" w:eastAsia="Arial" w:hAnsi="Arial"/>
          <w:b/>
          <w:bCs/>
          <w:color w:val="0F172A"/>
          <w:sz w:val="28"/>
          <w:szCs w:val="28"/>
        </w:rPr>
        <w:t xml:space="preserve">2. Ingestion Architecture Workflow</w:t>
      </w:r>
    </w:p>
    <w:p>
      <w:pPr>
        <w:spacing w:after="120" w:before="100"/>
      </w:pPr>
      <w:r>
        <w:rPr>
          <w:rFonts w:ascii="Arial" w:cs="Arial" w:eastAsia="Arial" w:hAnsi="Arial"/>
          <w:b w:val="false"/>
          <w:bCs w:val="false"/>
          <w:i w:val="false"/>
          <w:iCs w:val="false"/>
          <w:color w:val="1E293B"/>
          <w:sz w:val="24"/>
          <w:szCs w:val="24"/>
        </w:rPr>
        <w:t xml:space="preserve">1. User / Frontend: Direct File Upload to Amazon S3</w:t>
      </w:r>
    </w:p>
    <w:p>
      <w:pPr>
        <w:spacing w:after="120" w:before="100"/>
      </w:pPr>
      <w:r>
        <w:rPr>
          <w:rFonts w:ascii="Arial" w:cs="Arial" w:eastAsia="Arial" w:hAnsi="Arial"/>
          <w:b w:val="false"/>
          <w:bCs w:val="false"/>
          <w:i w:val="false"/>
          <w:iCs w:val="false"/>
          <w:color w:val="1E293B"/>
          <w:sz w:val="24"/>
          <w:szCs w:val="24"/>
        </w:rPr>
        <w:t xml:space="preserve">2. Frontend: Upload Complete API Call to Backend Service</w:t>
      </w:r>
    </w:p>
    <w:p>
      <w:pPr>
        <w:spacing w:after="120" w:before="100"/>
      </w:pPr>
      <w:r>
        <w:rPr>
          <w:rFonts w:ascii="Arial" w:cs="Arial" w:eastAsia="Arial" w:hAnsi="Arial"/>
          <w:b w:val="false"/>
          <w:bCs w:val="false"/>
          <w:i w:val="false"/>
          <w:iCs w:val="false"/>
          <w:color w:val="1E293B"/>
          <w:sz w:val="24"/>
          <w:szCs w:val="24"/>
        </w:rPr>
        <w:t xml:space="preserve">3. Backend Service: Enqueue Task in Amazon SQS Queue Buffer (Fire-and-forget)</w:t>
      </w:r>
    </w:p>
    <w:p>
      <w:pPr>
        <w:spacing w:after="120" w:before="100"/>
      </w:pPr>
      <w:r>
        <w:rPr>
          <w:rFonts w:ascii="Arial" w:cs="Arial" w:eastAsia="Arial" w:hAnsi="Arial"/>
          <w:b w:val="false"/>
          <w:bCs w:val="false"/>
          <w:i w:val="false"/>
          <w:iCs w:val="false"/>
          <w:color w:val="1E293B"/>
          <w:sz w:val="24"/>
          <w:szCs w:val="24"/>
        </w:rPr>
        <w:t xml:space="preserve">4. Amazon SQS Queue: Asynchronous Trigger to Existing AWS Lambda (In-House Engine: &lt;400ms)</w:t>
      </w:r>
    </w:p>
    <w:p>
      <w:pPr>
        <w:spacing w:after="120" w:before="100"/>
      </w:pPr>
      <w:r>
        <w:rPr>
          <w:rFonts w:ascii="Arial" w:cs="Arial" w:eastAsia="Arial" w:hAnsi="Arial"/>
          <w:b w:val="false"/>
          <w:bCs w:val="false"/>
          <w:i w:val="false"/>
          <w:iCs w:val="false"/>
          <w:color w:val="1E293B"/>
          <w:sz w:val="24"/>
          <w:szCs w:val="24"/>
        </w:rPr>
        <w:t xml:space="preserve">5. Existing AWS Lambda: Direct Database Save to PostgreSQL files.metadata</w:t>
      </w:r>
    </w:p>
    <w:p>
      <w:pPr>
        <w:pStyle w:val="Heading1"/>
        <w:spacing w:after="100" w:before="260"/>
      </w:pPr>
      <w:r>
        <w:rPr>
          <w:rFonts w:ascii="Arial" w:cs="Arial" w:eastAsia="Arial" w:hAnsi="Arial"/>
          <w:b/>
          <w:bCs/>
          <w:color w:val="0F172A"/>
          <w:sz w:val="28"/>
          <w:szCs w:val="28"/>
        </w:rPr>
        <w:t xml:space="preserve">3. Forensic Analysis: 6-Year Schema Drift &amp; Database Impact</w:t>
      </w:r>
    </w:p>
    <w:p>
      <w:pPr>
        <w:spacing w:after="120" w:before="100"/>
      </w:pPr>
      <w:r>
        <w:rPr>
          <w:rFonts w:ascii="Arial" w:cs="Arial" w:eastAsia="Arial" w:hAnsi="Arial"/>
          <w:b w:val="false"/>
          <w:bCs w:val="false"/>
          <w:i w:val="false"/>
          <w:iCs w:val="false"/>
          <w:color w:val="1E293B"/>
          <w:sz w:val="24"/>
          <w:szCs w:val="24"/>
        </w:rPr>
        <w:t xml:space="preserve">A forensic database audit of 593,504 files in the database revealed how CloudConvert's silent upstream tool upgrades generated distinct generations of conflicting metadata structures: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8%"/>
            <w:shd w:fill="F1F5F9" w:val="clear"/>
          </w:tcPr>
          <w:p>
            <w:pPr>
              <w:spacing w:after="80" w:before="80"/>
            </w:pPr>
            <w:r>
              <w:rPr>
                <w:rFonts w:ascii="Arial" w:cs="Arial" w:eastAsia="Arial" w:hAnsi="Arial"/>
                <w:b/>
                <w:bCs/>
                <w:color w:val="0F172A"/>
                <w:sz w:val="22"/>
                <w:szCs w:val="22"/>
              </w:rPr>
              <w:t xml:space="preserve">Generation</w:t>
            </w:r>
          </w:p>
        </w:tc>
        <w:tc>
          <w:tcPr>
            <w:tcW w:type="pct" w:w="18%"/>
            <w:shd w:fill="F1F5F9" w:val="clear"/>
          </w:tcPr>
          <w:p>
            <w:pPr>
              <w:spacing w:after="80" w:before="80"/>
            </w:pPr>
            <w:r>
              <w:rPr>
                <w:rFonts w:ascii="Arial" w:cs="Arial" w:eastAsia="Arial" w:hAnsi="Arial"/>
                <w:b/>
                <w:bCs/>
                <w:color w:val="0F172A"/>
                <w:sz w:val="22"/>
                <w:szCs w:val="22"/>
              </w:rPr>
              <w:t xml:space="preserve">Engine Version Recorded</w:t>
            </w:r>
          </w:p>
        </w:tc>
        <w:tc>
          <w:tcPr>
            <w:tcW w:type="pct" w:w="14%"/>
            <w:shd w:fill="F1F5F9" w:val="clear"/>
          </w:tcPr>
          <w:p>
            <w:pPr>
              <w:spacing w:after="80" w:before="80"/>
            </w:pPr>
            <w:r>
              <w:rPr>
                <w:rFonts w:ascii="Arial" w:cs="Arial" w:eastAsia="Arial" w:hAnsi="Arial"/>
                <w:b/>
                <w:bCs/>
                <w:color w:val="0F172A"/>
                <w:sz w:val="22"/>
                <w:szCs w:val="22"/>
              </w:rPr>
              <w:t xml:space="preserve">Asset Count</w:t>
            </w:r>
          </w:p>
        </w:tc>
        <w:tc>
          <w:tcPr>
            <w:tcW w:type="pct" w:w="20%"/>
            <w:shd w:fill="F1F5F9" w:val="clear"/>
          </w:tcPr>
          <w:p>
            <w:pPr>
              <w:spacing w:after="80" w:before="80"/>
            </w:pPr>
            <w:r>
              <w:rPr>
                <w:rFonts w:ascii="Arial" w:cs="Arial" w:eastAsia="Arial" w:hAnsi="Arial"/>
                <w:b/>
                <w:bCs/>
                <w:color w:val="0F172A"/>
                <w:sz w:val="22"/>
                <w:szCs w:val="22"/>
              </w:rPr>
              <w:t xml:space="preserve">Date Range</w:t>
            </w:r>
          </w:p>
        </w:tc>
        <w:tc>
          <w:tcPr>
            <w:tcW w:type="pct" w:w="30%"/>
            <w:shd w:fill="F1F5F9" w:val="clear"/>
          </w:tcPr>
          <w:p>
            <w:pPr>
              <w:spacing w:after="80" w:before="80"/>
            </w:pPr>
            <w:r>
              <w:rPr>
                <w:rFonts w:ascii="Arial" w:cs="Arial" w:eastAsia="Arial" w:hAnsi="Arial"/>
                <w:b/>
                <w:bCs/>
                <w:color w:val="0F172A"/>
                <w:sz w:val="22"/>
                <w:szCs w:val="22"/>
              </w:rPr>
              <w:t xml:space="preserve">Impact on Database Records</w:t>
            </w:r>
          </w:p>
        </w:tc>
      </w:tr>
      <w:tr>
        <w:tc>
          <w:tcPr>
            <w:tcW w:type="pct" w:w="18%"/>
          </w:tcPr>
          <w:p>
            <w:pPr>
              <w:spacing w:after="80" w:before="80"/>
            </w:pPr>
            <w:r>
              <w:rPr>
                <w:rFonts w:ascii="Arial" w:cs="Arial" w:eastAsia="Arial" w:hAnsi="Arial"/>
                <w:b w:val="false"/>
                <w:bCs w:val="false"/>
                <w:color w:val="334155"/>
                <w:sz w:val="22"/>
                <w:szCs w:val="22"/>
              </w:rPr>
              <w:t xml:space="preserve">Generation 1</w:t>
            </w:r>
          </w:p>
        </w:tc>
        <w:tc>
          <w:tcPr>
            <w:tcW w:type="pct" w:w="18%"/>
          </w:tcPr>
          <w:p>
            <w:pPr>
              <w:spacing w:after="80" w:before="80"/>
            </w:pPr>
            <w:r>
              <w:rPr>
                <w:rFonts w:ascii="Arial" w:cs="Arial" w:eastAsia="Arial" w:hAnsi="Arial"/>
                <w:b w:val="false"/>
                <w:bCs w:val="false"/>
                <w:color w:val="334155"/>
                <w:sz w:val="22"/>
                <w:szCs w:val="22"/>
              </w:rPr>
              <w:t xml:space="preserve">v12.36</w:t>
            </w:r>
          </w:p>
        </w:tc>
        <w:tc>
          <w:tcPr>
            <w:tcW w:type="pct" w:w="14%"/>
          </w:tcPr>
          <w:p>
            <w:pPr>
              <w:spacing w:after="80" w:before="80"/>
            </w:pPr>
            <w:r>
              <w:rPr>
                <w:rFonts w:ascii="Arial" w:cs="Arial" w:eastAsia="Arial" w:hAnsi="Arial"/>
                <w:b w:val="false"/>
                <w:bCs w:val="false"/>
                <w:color w:val="334155"/>
                <w:sz w:val="22"/>
                <w:szCs w:val="22"/>
              </w:rPr>
              <w:t xml:space="preserve">18,029</w:t>
            </w:r>
          </w:p>
        </w:tc>
        <w:tc>
          <w:tcPr>
            <w:tcW w:type="pct" w:w="20%"/>
          </w:tcPr>
          <w:p>
            <w:pPr>
              <w:spacing w:after="80" w:before="80"/>
            </w:pPr>
            <w:r>
              <w:rPr>
                <w:rFonts w:ascii="Arial" w:cs="Arial" w:eastAsia="Arial" w:hAnsi="Arial"/>
                <w:b w:val="false"/>
                <w:bCs w:val="false"/>
                <w:color w:val="334155"/>
                <w:sz w:val="22"/>
                <w:szCs w:val="22"/>
              </w:rPr>
              <w:t xml:space="preserve">Feb 2022 – Feb 2024</w:t>
            </w:r>
          </w:p>
        </w:tc>
        <w:tc>
          <w:tcPr>
            <w:tcW w:type="pct" w:w="30%"/>
          </w:tcPr>
          <w:p>
            <w:pPr>
              <w:spacing w:after="80" w:before="80"/>
            </w:pPr>
            <w:r>
              <w:rPr>
                <w:rFonts w:ascii="Arial" w:cs="Arial" w:eastAsia="Arial" w:hAnsi="Arial"/>
                <w:b w:val="false"/>
                <w:bCs w:val="false"/>
                <w:color w:val="334155"/>
                <w:sz w:val="22"/>
                <w:szCs w:val="22"/>
              </w:rPr>
              <w:t xml:space="preserve">Early CloudConvert worker version (decimal duration formats, early bitrate tags)</w:t>
            </w:r>
          </w:p>
        </w:tc>
      </w:tr>
      <w:tr>
        <w:tc>
          <w:tcPr>
            <w:tcW w:type="pct" w:w="18%"/>
          </w:tcPr>
          <w:p>
            <w:pPr>
              <w:spacing w:after="80" w:before="80"/>
            </w:pPr>
            <w:r>
              <w:rPr>
                <w:rFonts w:ascii="Arial" w:cs="Arial" w:eastAsia="Arial" w:hAnsi="Arial"/>
                <w:b w:val="false"/>
                <w:bCs w:val="false"/>
                <w:color w:val="334155"/>
                <w:sz w:val="22"/>
                <w:szCs w:val="22"/>
              </w:rPr>
              <w:t xml:space="preserve">Generation 2</w:t>
            </w:r>
          </w:p>
        </w:tc>
        <w:tc>
          <w:tcPr>
            <w:tcW w:type="pct" w:w="18%"/>
          </w:tcPr>
          <w:p>
            <w:pPr>
              <w:spacing w:after="80" w:before="80"/>
            </w:pPr>
            <w:r>
              <w:rPr>
                <w:rFonts w:ascii="Arial" w:cs="Arial" w:eastAsia="Arial" w:hAnsi="Arial"/>
                <w:b w:val="false"/>
                <w:bCs w:val="false"/>
                <w:color w:val="334155"/>
                <w:sz w:val="22"/>
                <w:szCs w:val="22"/>
              </w:rPr>
              <w:t xml:space="preserve">v12.56</w:t>
            </w:r>
          </w:p>
        </w:tc>
        <w:tc>
          <w:tcPr>
            <w:tcW w:type="pct" w:w="14%"/>
          </w:tcPr>
          <w:p>
            <w:pPr>
              <w:spacing w:after="80" w:before="80"/>
            </w:pPr>
            <w:r>
              <w:rPr>
                <w:rFonts w:ascii="Arial" w:cs="Arial" w:eastAsia="Arial" w:hAnsi="Arial"/>
                <w:b w:val="false"/>
                <w:bCs w:val="false"/>
                <w:color w:val="334155"/>
                <w:sz w:val="22"/>
                <w:szCs w:val="22"/>
              </w:rPr>
              <w:t xml:space="preserve">271,126</w:t>
            </w:r>
          </w:p>
        </w:tc>
        <w:tc>
          <w:tcPr>
            <w:tcW w:type="pct" w:w="20%"/>
          </w:tcPr>
          <w:p>
            <w:pPr>
              <w:spacing w:after="80" w:before="80"/>
            </w:pPr>
            <w:r>
              <w:rPr>
                <w:rFonts w:ascii="Arial" w:cs="Arial" w:eastAsia="Arial" w:hAnsi="Arial"/>
                <w:b w:val="false"/>
                <w:bCs w:val="false"/>
                <w:color w:val="334155"/>
                <w:sz w:val="22"/>
                <w:szCs w:val="22"/>
              </w:rPr>
              <w:t xml:space="preserve">Nov 2021 – Aug 2026</w:t>
            </w:r>
          </w:p>
        </w:tc>
        <w:tc>
          <w:tcPr>
            <w:tcW w:type="pct" w:w="30%"/>
          </w:tcPr>
          <w:p>
            <w:pPr>
              <w:spacing w:after="80" w:before="80"/>
            </w:pPr>
            <w:r>
              <w:rPr>
                <w:rFonts w:ascii="Arial" w:cs="Arial" w:eastAsia="Arial" w:hAnsi="Arial"/>
                <w:b w:val="false"/>
                <w:bCs w:val="false"/>
                <w:color w:val="334155"/>
                <w:sz w:val="22"/>
                <w:szCs w:val="22"/>
              </w:rPr>
              <w:t xml:space="preserve">CloudConvert container upgrade (timecode duration shifts, enhanced vector tags)</w:t>
            </w:r>
          </w:p>
        </w:tc>
      </w:tr>
      <w:tr>
        <w:tc>
          <w:tcPr>
            <w:tcW w:type="pct" w:w="18%"/>
          </w:tcPr>
          <w:p>
            <w:pPr>
              <w:spacing w:after="80" w:before="80"/>
            </w:pPr>
            <w:r>
              <w:rPr>
                <w:rFonts w:ascii="Arial" w:cs="Arial" w:eastAsia="Arial" w:hAnsi="Arial"/>
                <w:b w:val="false"/>
                <w:bCs w:val="false"/>
                <w:color w:val="334155"/>
                <w:sz w:val="22"/>
                <w:szCs w:val="22"/>
              </w:rPr>
              <w:t xml:space="preserve">Generation 3</w:t>
            </w:r>
          </w:p>
        </w:tc>
        <w:tc>
          <w:tcPr>
            <w:tcW w:type="pct" w:w="18%"/>
          </w:tcPr>
          <w:p>
            <w:pPr>
              <w:spacing w:after="80" w:before="80"/>
            </w:pPr>
            <w:r>
              <w:rPr>
                <w:rFonts w:ascii="Arial" w:cs="Arial" w:eastAsia="Arial" w:hAnsi="Arial"/>
                <w:b w:val="false"/>
                <w:bCs w:val="false"/>
                <w:color w:val="334155"/>
                <w:sz w:val="22"/>
                <w:szCs w:val="22"/>
              </w:rPr>
              <w:t xml:space="preserve">NO_EXIFTOOL_TAG</w:t>
            </w:r>
          </w:p>
        </w:tc>
        <w:tc>
          <w:tcPr>
            <w:tcW w:type="pct" w:w="14%"/>
          </w:tcPr>
          <w:p>
            <w:pPr>
              <w:spacing w:after="80" w:before="80"/>
            </w:pPr>
            <w:r>
              <w:rPr>
                <w:rFonts w:ascii="Arial" w:cs="Arial" w:eastAsia="Arial" w:hAnsi="Arial"/>
                <w:b w:val="false"/>
                <w:bCs w:val="false"/>
                <w:color w:val="334155"/>
                <w:sz w:val="22"/>
                <w:szCs w:val="22"/>
              </w:rPr>
              <w:t xml:space="preserve">272,602</w:t>
            </w:r>
          </w:p>
        </w:tc>
        <w:tc>
          <w:tcPr>
            <w:tcW w:type="pct" w:w="20%"/>
          </w:tcPr>
          <w:p>
            <w:pPr>
              <w:spacing w:after="80" w:before="80"/>
            </w:pPr>
            <w:r>
              <w:rPr>
                <w:rFonts w:ascii="Arial" w:cs="Arial" w:eastAsia="Arial" w:hAnsi="Arial"/>
                <w:b w:val="false"/>
                <w:bCs w:val="false"/>
                <w:color w:val="334155"/>
                <w:sz w:val="22"/>
                <w:szCs w:val="22"/>
              </w:rPr>
              <w:t xml:space="preserve">Mar 2022 – Aug 2026</w:t>
            </w:r>
          </w:p>
        </w:tc>
        <w:tc>
          <w:tcPr>
            <w:tcW w:type="pct" w:w="30%"/>
          </w:tcPr>
          <w:p>
            <w:pPr>
              <w:spacing w:after="80" w:before="80"/>
            </w:pPr>
            <w:r>
              <w:rPr>
                <w:rFonts w:ascii="Arial" w:cs="Arial" w:eastAsia="Arial" w:hAnsi="Arial"/>
                <w:b w:val="false"/>
                <w:bCs w:val="false"/>
                <w:color w:val="334155"/>
                <w:sz w:val="22"/>
                <w:szCs w:val="22"/>
              </w:rPr>
              <w:t xml:space="preserve">S3 header-only or non-standard extractions</w:t>
            </w:r>
          </w:p>
        </w:tc>
      </w:tr>
    </w:tbl>
    <w:p>
      <w:pPr>
        <w:spacing w:after="60" w:before="180"/>
      </w:pPr>
    </w:p>
    <w:p>
      <w:pPr>
        <w:pStyle w:val="Heading2"/>
        <w:spacing w:after="100" w:before="260"/>
      </w:pPr>
      <w:r>
        <w:rPr>
          <w:rFonts w:ascii="Arial" w:cs="Arial" w:eastAsia="Arial" w:hAnsi="Arial"/>
          <w:b/>
          <w:bCs/>
          <w:color w:val="0F172A"/>
          <w:sz w:val="24"/>
          <w:szCs w:val="24"/>
        </w:rPr>
        <w:t xml:space="preserve">Real-World Discrepancy Case Studies from Historical Data:</w:t>
      </w:r>
    </w:p>
    <w:p>
      <w:pPr>
        <w:spacing w:after="120" w:before="100"/>
      </w:pPr>
      <w:r>
        <w:rPr>
          <w:rFonts w:ascii="Arial" w:cs="Arial" w:eastAsia="Arial" w:hAnsi="Arial"/>
          <w:b w:val="false"/>
          <w:bCs w:val="false"/>
          <w:i w:val="false"/>
          <w:iCs w:val="false"/>
          <w:color w:val="1E293B"/>
          <w:sz w:val="24"/>
          <w:szCs w:val="24"/>
        </w:rPr>
        <w:t xml:space="preserve">• Case 1: Video Duration Format Shift (Decimal Seconds vs. Timecodes)</w:t>
      </w:r>
    </w:p>
    <w:p>
      <w:pPr>
        <w:spacing w:after="120" w:before="100"/>
      </w:pPr>
      <w:r>
        <w:rPr>
          <w:rFonts w:ascii="Arial" w:cs="Arial" w:eastAsia="Arial" w:hAnsi="Arial"/>
          <w:b w:val="false"/>
          <w:bCs w:val="false"/>
          <w:i/>
          <w:iCs/>
          <w:color w:val="1E293B"/>
          <w:sz w:val="24"/>
          <w:szCs w:val="24"/>
        </w:rPr>
        <w:t xml:space="preserve">In earlier uploads, video duration was stored as a decimal string with unit ("20.00 s"). Following upstream tool updates, the format shifted to a timecode string ("0:00:30"). Standard numerical parsing functions (parseFloat) evaluate "0:00:30" as 0, causing downstream rendering engines to miscalculate asset length unless complex string-splitting fallback logic was applied.
Evidence: File #259754 (SO_Enterprise_C12_Rent_A_Car_ENG_Molde_1.mp4, 2024-09-19): Duration: "20.00 s" vs File #475028 (Allstate_C1_Generic_ATX_Base_South.mp4, 2026-01-27): Duration: "0:00:30".</w:t>
      </w:r>
    </w:p>
    <w:p>
      <w:pPr>
        <w:spacing w:after="120" w:before="100"/>
      </w:pPr>
      <w:r>
        <w:rPr>
          <w:rFonts w:ascii="Arial" w:cs="Arial" w:eastAsia="Arial" w:hAnsi="Arial"/>
          <w:b w:val="false"/>
          <w:bCs w:val="false"/>
          <w:i w:val="false"/>
          <w:iCs w:val="false"/>
          <w:color w:val="1E293B"/>
          <w:sz w:val="24"/>
          <w:szCs w:val="24"/>
        </w:rPr>
        <w:t xml:space="preserve">• Case 2: Bitrate Tag Splitting (AvgBitrate vs. Bitrate vs. VideoBitrate)</w:t>
      </w:r>
    </w:p>
    <w:p>
      <w:pPr>
        <w:spacing w:after="120" w:before="100"/>
      </w:pPr>
      <w:r>
        <w:rPr>
          <w:rFonts w:ascii="Arial" w:cs="Arial" w:eastAsia="Arial" w:hAnsi="Arial"/>
          <w:b w:val="false"/>
          <w:bCs w:val="false"/>
          <w:i/>
          <w:iCs/>
          <w:color w:val="1E293B"/>
          <w:sz w:val="24"/>
          <w:szCs w:val="24"/>
        </w:rPr>
        <w:t xml:space="preserve">Older systems looked for a single Bitrate field. Newer MP4/MOV extractions exclusively output AvgBitrate, while MPEG videos output VideoBitrate. Across 142,287 MP4 videos, 117,445 files contain AvgBitrate, while only 8 files contain Bitrate. Code querying metadata.Bitrate returned empty values for over 99% of video assets.</w:t>
      </w:r>
    </w:p>
    <w:p>
      <w:pPr>
        <w:spacing w:after="120" w:before="100"/>
      </w:pPr>
      <w:r>
        <w:rPr>
          <w:rFonts w:ascii="Arial" w:cs="Arial" w:eastAsia="Arial" w:hAnsi="Arial"/>
          <w:b w:val="false"/>
          <w:bCs w:val="false"/>
          <w:i w:val="false"/>
          <w:iCs w:val="false"/>
          <w:color w:val="1E293B"/>
          <w:sz w:val="24"/>
          <w:szCs w:val="24"/>
        </w:rPr>
        <w:t xml:space="preserve">• Case 3: Adobe Illustrator Canvas Dimensions (MaxPageSizeW vs. ImageWidth)</w:t>
      </w:r>
    </w:p>
    <w:p>
      <w:pPr>
        <w:spacing w:after="120" w:before="100"/>
      </w:pPr>
      <w:r>
        <w:rPr>
          <w:rFonts w:ascii="Arial" w:cs="Arial" w:eastAsia="Arial" w:hAnsi="Arial"/>
          <w:b w:val="false"/>
          <w:bCs w:val="false"/>
          <w:i/>
          <w:iCs/>
          <w:color w:val="1E293B"/>
          <w:sz w:val="24"/>
          <w:szCs w:val="24"/>
        </w:rPr>
        <w:t xml:space="preserve">Vector artwork files (.ai / .eps) do not contain a pixel grid. ExifTool returns ImageWidth: null and instead stores the true artboard canvas dimensions inside MaxPageSizeW and BoundingBox. Across 2,099 Adobe Illustrator master assets, ImageWidth is completely null.
Evidence: File #381646 (SO_P&amp;G_Gillette_C2_SharedStatic_Base_Artwork_1.ai): ImageWidth: null, MaxPageSizeW: "242", BoundingBox: "-4 -263 1746 14"; File #307768 (SO_UEFA_C6_VAR_Base_144px_(246m)_1.ai): ImageWidth: null, MaxPageSizeW: "18800".</w:t>
      </w:r>
    </w:p>
    <w:p>
      <w:pPr>
        <w:spacing w:after="120" w:before="100"/>
      </w:pPr>
      <w:r>
        <w:rPr>
          <w:rFonts w:ascii="Arial" w:cs="Arial" w:eastAsia="Arial" w:hAnsi="Arial"/>
          <w:b w:val="false"/>
          <w:bCs w:val="false"/>
          <w:i w:val="false"/>
          <w:iCs w:val="false"/>
          <w:color w:val="1E293B"/>
          <w:sz w:val="24"/>
          <w:szCs w:val="24"/>
        </w:rPr>
        <w:t xml:space="preserve">• Case 4: Document Page Count Tag Changes (PageCount vs. Pages)</w:t>
      </w:r>
    </w:p>
    <w:p>
      <w:pPr>
        <w:spacing w:after="120" w:before="100"/>
      </w:pPr>
      <w:r>
        <w:rPr>
          <w:rFonts w:ascii="Arial" w:cs="Arial" w:eastAsia="Arial" w:hAnsi="Arial"/>
          <w:b w:val="false"/>
          <w:bCs w:val="false"/>
          <w:i/>
          <w:iCs/>
          <w:color w:val="1E293B"/>
          <w:sz w:val="24"/>
          <w:szCs w:val="24"/>
        </w:rPr>
        <w:t xml:space="preserve">Early PostScript files recorded document lengths under Pages, whereas standard PDF extractions output PageCount.
Evidence: File #308888 (Brax_C15_SUPERBET_ISG_Virtual_Carpets_All_Venues_1.pdf): PageCount: "1", Pages: null; 30 legacy PostScript documents contain Pages: 1.</w:t>
      </w:r>
    </w:p>
    <w:p>
      <w:pPr>
        <w:spacing w:after="120" w:before="100"/>
      </w:pPr>
      <w:r>
        <w:rPr>
          <w:rFonts w:ascii="Arial" w:cs="Arial" w:eastAsia="Arial" w:hAnsi="Arial"/>
          <w:b w:val="false"/>
          <w:bCs w:val="false"/>
          <w:i w:val="false"/>
          <w:iCs w:val="false"/>
          <w:color w:val="1E293B"/>
          <w:sz w:val="24"/>
          <w:szCs w:val="24"/>
        </w:rPr>
        <w:t xml:space="preserve">• Case 5: PNG Resolution &amp; DPI Inconsistencies (XResolution vs. PixelsPerUnitX)</w:t>
      </w:r>
    </w:p>
    <w:p>
      <w:pPr>
        <w:spacing w:after="120" w:before="100"/>
      </w:pPr>
      <w:r>
        <w:rPr>
          <w:rFonts w:ascii="Arial" w:cs="Arial" w:eastAsia="Arial" w:hAnsi="Arial"/>
          <w:b w:val="false"/>
          <w:bCs w:val="false"/>
          <w:i/>
          <w:iCs/>
          <w:color w:val="1E293B"/>
          <w:sz w:val="24"/>
          <w:szCs w:val="24"/>
        </w:rPr>
        <w:t xml:space="preserve">Image resolution is recorded either under XResolution (in inches) or raw pixel density PixelsPerUnitX (in meters) depending on the authoring software and upstream parser state.
Evidence: File #562777 (1XBET_C11_222_BA2_BGR.png): contains XResolution: "144", ResolutionUnit: "inches", PixelsPerUnitX: "5669"; File #546446 (AFC_Commercial_Team_C4_Ca3_FT_5.png): XResolution: null, PixelsPerUnitX: "2835".</w:t>
      </w:r>
    </w:p>
    <w:p>
      <w:pPr>
        <w:spacing w:after="120" w:before="100"/>
      </w:pPr>
      <w:r>
        <w:rPr>
          <w:rFonts w:ascii="Arial" w:cs="Arial" w:eastAsia="Arial" w:hAnsi="Arial"/>
          <w:b w:val="false"/>
          <w:bCs w:val="false"/>
          <w:i w:val="false"/>
          <w:iCs w:val="false"/>
          <w:color w:val="1E293B"/>
          <w:sz w:val="24"/>
          <w:szCs w:val="24"/>
        </w:rPr>
        <w:t xml:space="preserve">• Case 6: Photoshop Layer Data &amp; Color Spaces (PSD Assets)</w:t>
      </w:r>
    </w:p>
    <w:p>
      <w:pPr>
        <w:spacing w:after="120" w:before="100"/>
      </w:pPr>
      <w:r>
        <w:rPr>
          <w:rFonts w:ascii="Arial" w:cs="Arial" w:eastAsia="Arial" w:hAnsi="Arial"/>
          <w:b w:val="false"/>
          <w:bCs w:val="false"/>
          <w:i/>
          <w:iCs/>
          <w:color w:val="1E293B"/>
          <w:sz w:val="24"/>
          <w:szCs w:val="24"/>
        </w:rPr>
        <w:t xml:space="preserve">Master Photoshop PSD files require layer count and color space data for automated rendering. Upstream changes varied between returning raw color space integers vs. descriptive strings.
Evidence: File #393594 (National_Partners-Shared_Artwork_C9_V2_Miele_Base_144_1.psd): LayerCount: "4", ColorSpace: "sRGB"; File #377806 (SO_Apple_C7_Stick_Group_2_Base_2.psd): LayerCount: "11", ColorSpace: "Uncalibrated".</w:t>
      </w:r>
    </w:p>
    <w:p>
      <w:pPr>
        <w:spacing w:after="60" w:before="180"/>
      </w:pPr>
    </w:p>
    <w:p>
      <w:pPr>
        <w:pStyle w:val="Heading1"/>
        <w:spacing w:after="100" w:before="260"/>
      </w:pPr>
      <w:r>
        <w:rPr>
          <w:rFonts w:ascii="Arial" w:cs="Arial" w:eastAsia="Arial" w:hAnsi="Arial"/>
          <w:b/>
          <w:bCs/>
          <w:color w:val="0F172A"/>
          <w:sz w:val="28"/>
          <w:szCs w:val="28"/>
        </w:rPr>
        <w:t xml:space="preserve">4. Proof of Concept (POC) Validation &amp; Benchmark Results</w:t>
      </w:r>
    </w:p>
    <w:p>
      <w:pPr>
        <w:spacing w:after="120" w:before="100"/>
      </w:pPr>
      <w:r>
        <w:rPr>
          <w:rFonts w:ascii="Arial" w:cs="Arial" w:eastAsia="Arial" w:hAnsi="Arial"/>
          <w:b w:val="false"/>
          <w:bCs w:val="false"/>
          <w:i w:val="false"/>
          <w:iCs w:val="false"/>
          <w:color w:val="1E293B"/>
          <w:sz w:val="24"/>
          <w:szCs w:val="24"/>
        </w:rPr>
        <w:t xml:space="preserve">A Proof of Concept was developed to verify data parity between live CloudConvert API responses and the in-house extraction engine across representative media formats in The Vault catalog: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1F5F9" w:val="clear"/>
          </w:tcPr>
          <w:p>
            <w:pPr>
              <w:spacing w:after="80" w:before="80"/>
            </w:pPr>
            <w:r>
              <w:rPr>
                <w:rFonts w:ascii="Arial" w:cs="Arial" w:eastAsia="Arial" w:hAnsi="Arial"/>
                <w:b/>
                <w:bCs/>
                <w:color w:val="0F172A"/>
                <w:sz w:val="22"/>
                <w:szCs w:val="22"/>
              </w:rPr>
              <w:t xml:space="preserve">Media Format</w:t>
            </w:r>
          </w:p>
        </w:tc>
        <w:tc>
          <w:tcPr>
            <w:tcW w:type="pct" w:w="30%"/>
            <w:shd w:fill="F1F5F9" w:val="clear"/>
          </w:tcPr>
          <w:p>
            <w:pPr>
              <w:spacing w:after="80" w:before="80"/>
            </w:pPr>
            <w:r>
              <w:rPr>
                <w:rFonts w:ascii="Arial" w:cs="Arial" w:eastAsia="Arial" w:hAnsi="Arial"/>
                <w:b/>
                <w:bCs/>
                <w:color w:val="0F172A"/>
                <w:sz w:val="22"/>
                <w:szCs w:val="22"/>
              </w:rPr>
              <w:t xml:space="preserve">Asset Type</w:t>
            </w:r>
          </w:p>
        </w:tc>
        <w:tc>
          <w:tcPr>
            <w:tcW w:type="pct" w:w="30%"/>
            <w:shd w:fill="F1F5F9" w:val="clear"/>
          </w:tcPr>
          <w:p>
            <w:pPr>
              <w:spacing w:after="80" w:before="80"/>
            </w:pPr>
            <w:r>
              <w:rPr>
                <w:rFonts w:ascii="Arial" w:cs="Arial" w:eastAsia="Arial" w:hAnsi="Arial"/>
                <w:b/>
                <w:bCs/>
                <w:color w:val="0F172A"/>
                <w:sz w:val="22"/>
                <w:szCs w:val="22"/>
              </w:rPr>
              <w:t xml:space="preserve">Extracted Technical Attributes</w:t>
            </w:r>
          </w:p>
        </w:tc>
        <w:tc>
          <w:tcPr>
            <w:tcW w:type="pct" w:w="15%"/>
            <w:shd w:fill="F1F5F9" w:val="clear"/>
          </w:tcPr>
          <w:p>
            <w:pPr>
              <w:spacing w:after="80" w:before="80"/>
            </w:pPr>
            <w:r>
              <w:rPr>
                <w:rFonts w:ascii="Arial" w:cs="Arial" w:eastAsia="Arial" w:hAnsi="Arial"/>
                <w:b/>
                <w:bCs/>
                <w:color w:val="0F172A"/>
                <w:sz w:val="22"/>
                <w:szCs w:val="22"/>
              </w:rPr>
              <w:t xml:space="preserve">Verification Status</w:t>
            </w:r>
          </w:p>
        </w:tc>
      </w:tr>
      <w:tr>
        <w:tc>
          <w:tcPr>
            <w:tcW w:type="pct" w:w="25%"/>
          </w:tcPr>
          <w:p>
            <w:pPr>
              <w:spacing w:after="80" w:before="80"/>
            </w:pPr>
            <w:r>
              <w:rPr>
                <w:rFonts w:ascii="Arial" w:cs="Arial" w:eastAsia="Arial" w:hAnsi="Arial"/>
                <w:b w:val="false"/>
                <w:bCs w:val="false"/>
                <w:color w:val="334155"/>
                <w:sz w:val="22"/>
                <w:szCs w:val="22"/>
              </w:rPr>
              <w:t xml:space="preserve">PNG</w:t>
            </w:r>
          </w:p>
        </w:tc>
        <w:tc>
          <w:tcPr>
            <w:tcW w:type="pct" w:w="30%"/>
          </w:tcPr>
          <w:p>
            <w:pPr>
              <w:spacing w:after="80" w:before="80"/>
            </w:pPr>
            <w:r>
              <w:rPr>
                <w:rFonts w:ascii="Arial" w:cs="Arial" w:eastAsia="Arial" w:hAnsi="Arial"/>
                <w:b w:val="false"/>
                <w:bCs w:val="false"/>
                <w:color w:val="334155"/>
                <w:sz w:val="22"/>
                <w:szCs w:val="22"/>
              </w:rPr>
              <w:t xml:space="preserve">Brand graphics, transparent overlays</w:t>
            </w:r>
          </w:p>
        </w:tc>
        <w:tc>
          <w:tcPr>
            <w:tcW w:type="pct" w:w="30%"/>
          </w:tcPr>
          <w:p>
            <w:pPr>
              <w:spacing w:after="80" w:before="80"/>
            </w:pPr>
            <w:r>
              <w:rPr>
                <w:rFonts w:ascii="Arial" w:cs="Arial" w:eastAsia="Arial" w:hAnsi="Arial"/>
                <w:b w:val="false"/>
                <w:bCs w:val="false"/>
                <w:color w:val="334155"/>
                <w:sz w:val="22"/>
                <w:szCs w:val="22"/>
              </w:rPr>
              <w:t xml:space="preserve">Dimensions, Bit Depth, Color Type, DPI, Gamma</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JPEG</w:t>
            </w:r>
          </w:p>
        </w:tc>
        <w:tc>
          <w:tcPr>
            <w:tcW w:type="pct" w:w="30%"/>
          </w:tcPr>
          <w:p>
            <w:pPr>
              <w:spacing w:after="80" w:before="80"/>
            </w:pPr>
            <w:r>
              <w:rPr>
                <w:rFonts w:ascii="Arial" w:cs="Arial" w:eastAsia="Arial" w:hAnsi="Arial"/>
                <w:b w:val="false"/>
                <w:bCs w:val="false"/>
                <w:color w:val="334155"/>
                <w:sz w:val="22"/>
                <w:szCs w:val="22"/>
              </w:rPr>
              <w:t xml:space="preserve">Photography, campaign images</w:t>
            </w:r>
          </w:p>
        </w:tc>
        <w:tc>
          <w:tcPr>
            <w:tcW w:type="pct" w:w="30%"/>
          </w:tcPr>
          <w:p>
            <w:pPr>
              <w:spacing w:after="80" w:before="80"/>
            </w:pPr>
            <w:r>
              <w:rPr>
                <w:rFonts w:ascii="Arial" w:cs="Arial" w:eastAsia="Arial" w:hAnsi="Arial"/>
                <w:b w:val="false"/>
                <w:bCs w:val="false"/>
                <w:color w:val="334155"/>
                <w:sz w:val="22"/>
                <w:szCs w:val="22"/>
              </w:rPr>
              <w:t xml:space="preserve">Dimensions, EXIF metadata, Megapixels, Color Space</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MP4</w:t>
            </w:r>
          </w:p>
        </w:tc>
        <w:tc>
          <w:tcPr>
            <w:tcW w:type="pct" w:w="30%"/>
          </w:tcPr>
          <w:p>
            <w:pPr>
              <w:spacing w:after="80" w:before="80"/>
            </w:pPr>
            <w:r>
              <w:rPr>
                <w:rFonts w:ascii="Arial" w:cs="Arial" w:eastAsia="Arial" w:hAnsi="Arial"/>
                <w:b w:val="false"/>
                <w:bCs w:val="false"/>
                <w:color w:val="334155"/>
                <w:sz w:val="22"/>
                <w:szCs w:val="22"/>
              </w:rPr>
              <w:t xml:space="preserve">Video commercials, board renders</w:t>
            </w:r>
          </w:p>
        </w:tc>
        <w:tc>
          <w:tcPr>
            <w:tcW w:type="pct" w:w="30%"/>
          </w:tcPr>
          <w:p>
            <w:pPr>
              <w:spacing w:after="80" w:before="80"/>
            </w:pPr>
            <w:r>
              <w:rPr>
                <w:rFonts w:ascii="Arial" w:cs="Arial" w:eastAsia="Arial" w:hAnsi="Arial"/>
                <w:b w:val="false"/>
                <w:bCs w:val="false"/>
                <w:color w:val="334155"/>
                <w:sz w:val="22"/>
                <w:szCs w:val="22"/>
              </w:rPr>
              <w:t xml:space="preserve">Resolution, Duration, Framerate, Bitrate, Codecs</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QuickTime MOV</w:t>
            </w:r>
          </w:p>
        </w:tc>
        <w:tc>
          <w:tcPr>
            <w:tcW w:type="pct" w:w="30%"/>
          </w:tcPr>
          <w:p>
            <w:pPr>
              <w:spacing w:after="80" w:before="80"/>
            </w:pPr>
            <w:r>
              <w:rPr>
                <w:rFonts w:ascii="Arial" w:cs="Arial" w:eastAsia="Arial" w:hAnsi="Arial"/>
                <w:b w:val="false"/>
                <w:bCs w:val="false"/>
                <w:color w:val="334155"/>
                <w:sz w:val="22"/>
                <w:szCs w:val="22"/>
              </w:rPr>
              <w:t xml:space="preserve">High-definition master videos</w:t>
            </w:r>
          </w:p>
        </w:tc>
        <w:tc>
          <w:tcPr>
            <w:tcW w:type="pct" w:w="30%"/>
          </w:tcPr>
          <w:p>
            <w:pPr>
              <w:spacing w:after="80" w:before="80"/>
            </w:pPr>
            <w:r>
              <w:rPr>
                <w:rFonts w:ascii="Arial" w:cs="Arial" w:eastAsia="Arial" w:hAnsi="Arial"/>
                <w:b w:val="false"/>
                <w:bCs w:val="false"/>
                <w:color w:val="334155"/>
                <w:sz w:val="22"/>
                <w:szCs w:val="22"/>
              </w:rPr>
              <w:t xml:space="preserve">Resolution, TimeScale, Duration, Codec profile</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PDF</w:t>
            </w:r>
          </w:p>
        </w:tc>
        <w:tc>
          <w:tcPr>
            <w:tcW w:type="pct" w:w="30%"/>
          </w:tcPr>
          <w:p>
            <w:pPr>
              <w:spacing w:after="80" w:before="80"/>
            </w:pPr>
            <w:r>
              <w:rPr>
                <w:rFonts w:ascii="Arial" w:cs="Arial" w:eastAsia="Arial" w:hAnsi="Arial"/>
                <w:b w:val="false"/>
                <w:bCs w:val="false"/>
                <w:color w:val="334155"/>
                <w:sz w:val="22"/>
                <w:szCs w:val="22"/>
              </w:rPr>
              <w:t xml:space="preserve">Print proofs, campaign specifications</w:t>
            </w:r>
          </w:p>
        </w:tc>
        <w:tc>
          <w:tcPr>
            <w:tcW w:type="pct" w:w="30%"/>
          </w:tcPr>
          <w:p>
            <w:pPr>
              <w:spacing w:after="80" w:before="80"/>
            </w:pPr>
            <w:r>
              <w:rPr>
                <w:rFonts w:ascii="Arial" w:cs="Arial" w:eastAsia="Arial" w:hAnsi="Arial"/>
                <w:b w:val="false"/>
                <w:bCs w:val="false"/>
                <w:color w:val="334155"/>
                <w:sz w:val="22"/>
                <w:szCs w:val="22"/>
              </w:rPr>
              <w:t xml:space="preserve">Page Count, PDF Version, Creator Software</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Adobe Illustrator (AI/EPS)</w:t>
            </w:r>
          </w:p>
        </w:tc>
        <w:tc>
          <w:tcPr>
            <w:tcW w:type="pct" w:w="30%"/>
          </w:tcPr>
          <w:p>
            <w:pPr>
              <w:spacing w:after="80" w:before="80"/>
            </w:pPr>
            <w:r>
              <w:rPr>
                <w:rFonts w:ascii="Arial" w:cs="Arial" w:eastAsia="Arial" w:hAnsi="Arial"/>
                <w:b w:val="false"/>
                <w:bCs w:val="false"/>
                <w:color w:val="334155"/>
                <w:sz w:val="22"/>
                <w:szCs w:val="22"/>
              </w:rPr>
              <w:t xml:space="preserve">Vector artwork, signage dimensions</w:t>
            </w:r>
          </w:p>
        </w:tc>
        <w:tc>
          <w:tcPr>
            <w:tcW w:type="pct" w:w="30%"/>
          </w:tcPr>
          <w:p>
            <w:pPr>
              <w:spacing w:after="80" w:before="80"/>
            </w:pPr>
            <w:r>
              <w:rPr>
                <w:rFonts w:ascii="Arial" w:cs="Arial" w:eastAsia="Arial" w:hAnsi="Arial"/>
                <w:b w:val="false"/>
                <w:bCs w:val="false"/>
                <w:color w:val="334155"/>
                <w:sz w:val="22"/>
                <w:szCs w:val="22"/>
              </w:rPr>
              <w:t xml:space="preserve">Artboard Dimensions, Bounding Box, XMP</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Adobe Photoshop (PSD)</w:t>
            </w:r>
          </w:p>
        </w:tc>
        <w:tc>
          <w:tcPr>
            <w:tcW w:type="pct" w:w="30%"/>
          </w:tcPr>
          <w:p>
            <w:pPr>
              <w:spacing w:after="80" w:before="80"/>
            </w:pPr>
            <w:r>
              <w:rPr>
                <w:rFonts w:ascii="Arial" w:cs="Arial" w:eastAsia="Arial" w:hAnsi="Arial"/>
                <w:b w:val="false"/>
                <w:bCs w:val="false"/>
                <w:color w:val="334155"/>
                <w:sz w:val="22"/>
                <w:szCs w:val="22"/>
              </w:rPr>
              <w:t xml:space="preserve">Multi-layer master graphics</w:t>
            </w:r>
          </w:p>
        </w:tc>
        <w:tc>
          <w:tcPr>
            <w:tcW w:type="pct" w:w="30%"/>
          </w:tcPr>
          <w:p>
            <w:pPr>
              <w:spacing w:after="80" w:before="80"/>
            </w:pPr>
            <w:r>
              <w:rPr>
                <w:rFonts w:ascii="Arial" w:cs="Arial" w:eastAsia="Arial" w:hAnsi="Arial"/>
                <w:b w:val="false"/>
                <w:bCs w:val="false"/>
                <w:color w:val="334155"/>
                <w:sz w:val="22"/>
                <w:szCs w:val="22"/>
              </w:rPr>
              <w:t xml:space="preserve">Layer Count, Blend Modes, Layer Names, ICC</w:t>
            </w:r>
          </w:p>
        </w:tc>
        <w:tc>
          <w:tcPr>
            <w:tcW w:type="pct" w:w="15%"/>
          </w:tcPr>
          <w:p>
            <w:pPr>
              <w:spacing w:after="80" w:before="80"/>
            </w:pPr>
            <w:r>
              <w:rPr>
                <w:rFonts w:ascii="Arial" w:cs="Arial" w:eastAsia="Arial" w:hAnsi="Arial"/>
                <w:b w:val="false"/>
                <w:bCs w:val="false"/>
                <w:color w:val="334155"/>
                <w:sz w:val="22"/>
                <w:szCs w:val="22"/>
              </w:rPr>
              <w:t xml:space="preserve">100% Parity</w:t>
            </w:r>
          </w:p>
        </w:tc>
      </w:tr>
      <w:tr>
        <w:tc>
          <w:tcPr>
            <w:tcW w:type="pct" w:w="25%"/>
          </w:tcPr>
          <w:p>
            <w:pPr>
              <w:spacing w:after="80" w:before="80"/>
            </w:pPr>
            <w:r>
              <w:rPr>
                <w:rFonts w:ascii="Arial" w:cs="Arial" w:eastAsia="Arial" w:hAnsi="Arial"/>
                <w:b w:val="false"/>
                <w:bCs w:val="false"/>
                <w:color w:val="334155"/>
                <w:sz w:val="22"/>
                <w:szCs w:val="22"/>
              </w:rPr>
              <w:t xml:space="preserve">WebP</w:t>
            </w:r>
          </w:p>
        </w:tc>
        <w:tc>
          <w:tcPr>
            <w:tcW w:type="pct" w:w="30%"/>
          </w:tcPr>
          <w:p>
            <w:pPr>
              <w:spacing w:after="80" w:before="80"/>
            </w:pPr>
            <w:r>
              <w:rPr>
                <w:rFonts w:ascii="Arial" w:cs="Arial" w:eastAsia="Arial" w:hAnsi="Arial"/>
                <w:b w:val="false"/>
                <w:bCs w:val="false"/>
                <w:color w:val="334155"/>
                <w:sz w:val="22"/>
                <w:szCs w:val="22"/>
              </w:rPr>
              <w:t xml:space="preserve">Web banners</w:t>
            </w:r>
          </w:p>
        </w:tc>
        <w:tc>
          <w:tcPr>
            <w:tcW w:type="pct" w:w="30%"/>
          </w:tcPr>
          <w:p>
            <w:pPr>
              <w:spacing w:after="80" w:before="80"/>
            </w:pPr>
            <w:r>
              <w:rPr>
                <w:rFonts w:ascii="Arial" w:cs="Arial" w:eastAsia="Arial" w:hAnsi="Arial"/>
                <w:b w:val="false"/>
                <w:bCs w:val="false"/>
                <w:color w:val="334155"/>
                <w:sz w:val="22"/>
                <w:szCs w:val="22"/>
              </w:rPr>
              <w:t xml:space="preserve">Dimensions, Compression mode, Alpha channel</w:t>
            </w:r>
          </w:p>
        </w:tc>
        <w:tc>
          <w:tcPr>
            <w:tcW w:type="pct" w:w="15%"/>
          </w:tcPr>
          <w:p>
            <w:pPr>
              <w:spacing w:after="80" w:before="80"/>
            </w:pPr>
            <w:r>
              <w:rPr>
                <w:rFonts w:ascii="Arial" w:cs="Arial" w:eastAsia="Arial" w:hAnsi="Arial"/>
                <w:b w:val="false"/>
                <w:bCs w:val="false"/>
                <w:color w:val="334155"/>
                <w:sz w:val="22"/>
                <w:szCs w:val="22"/>
              </w:rPr>
              <w:t xml:space="preserve">100% Parity</w:t>
            </w:r>
          </w:p>
        </w:tc>
      </w:tr>
    </w:tbl>
    <w:p>
      <w:pPr>
        <w:spacing w:after="60" w:before="180"/>
      </w:pPr>
    </w:p>
    <w:p>
      <w:pPr>
        <w:pStyle w:val="Heading2"/>
        <w:spacing w:after="100" w:before="260"/>
      </w:pPr>
      <w:r>
        <w:rPr>
          <w:rFonts w:ascii="Arial" w:cs="Arial" w:eastAsia="Arial" w:hAnsi="Arial"/>
          <w:b/>
          <w:bCs/>
          <w:color w:val="0F172A"/>
          <w:sz w:val="24"/>
          <w:szCs w:val="24"/>
        </w:rPr>
        <w:t xml:space="preserve">Live Real-Time Benchmark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8%"/>
            <w:shd w:fill="F1F5F9" w:val="clear"/>
          </w:tcPr>
          <w:p>
            <w:pPr>
              <w:spacing w:after="80" w:before="80"/>
            </w:pPr>
            <w:r>
              <w:rPr>
                <w:rFonts w:ascii="Arial" w:cs="Arial" w:eastAsia="Arial" w:hAnsi="Arial"/>
                <w:b/>
                <w:bCs/>
                <w:color w:val="0F172A"/>
                <w:sz w:val="22"/>
                <w:szCs w:val="22"/>
              </w:rPr>
              <w:t xml:space="preserve">Benchmark Dimension</w:t>
            </w:r>
          </w:p>
        </w:tc>
        <w:tc>
          <w:tcPr>
            <w:tcW w:type="pct" w:w="32%"/>
            <w:shd w:fill="F1F5F9" w:val="clear"/>
          </w:tcPr>
          <w:p>
            <w:pPr>
              <w:spacing w:after="80" w:before="80"/>
            </w:pPr>
            <w:r>
              <w:rPr>
                <w:rFonts w:ascii="Arial" w:cs="Arial" w:eastAsia="Arial" w:hAnsi="Arial"/>
                <w:b/>
                <w:bCs/>
                <w:color w:val="0F172A"/>
                <w:sz w:val="22"/>
                <w:szCs w:val="22"/>
              </w:rPr>
              <w:t xml:space="preserve">CloudConvert SaaS (Live API)</w:t>
            </w:r>
          </w:p>
        </w:tc>
        <w:tc>
          <w:tcPr>
            <w:tcW w:type="pct" w:w="22%"/>
            <w:shd w:fill="F1F5F9" w:val="clear"/>
          </w:tcPr>
          <w:p>
            <w:pPr>
              <w:spacing w:after="80" w:before="80"/>
            </w:pPr>
            <w:r>
              <w:rPr>
                <w:rFonts w:ascii="Arial" w:cs="Arial" w:eastAsia="Arial" w:hAnsi="Arial"/>
                <w:b/>
                <w:bCs/>
                <w:color w:val="0F172A"/>
                <w:sz w:val="22"/>
                <w:szCs w:val="22"/>
              </w:rPr>
              <w:t xml:space="preserve">In-House Engine (Proposed)</w:t>
            </w:r>
          </w:p>
        </w:tc>
        <w:tc>
          <w:tcPr>
            <w:tcW w:type="pct" w:w="18%"/>
            <w:shd w:fill="F1F5F9" w:val="clear"/>
          </w:tcPr>
          <w:p>
            <w:pPr>
              <w:spacing w:after="80" w:before="80"/>
            </w:pPr>
            <w:r>
              <w:rPr>
                <w:rFonts w:ascii="Arial" w:cs="Arial" w:eastAsia="Arial" w:hAnsi="Arial"/>
                <w:b/>
                <w:bCs/>
                <w:color w:val="0F172A"/>
                <w:sz w:val="22"/>
                <w:szCs w:val="22"/>
              </w:rPr>
              <w:t xml:space="preserve">Operational Advantage</w:t>
            </w:r>
          </w:p>
        </w:tc>
      </w:tr>
      <w:tr>
        <w:tc>
          <w:tcPr>
            <w:tcW w:type="pct" w:w="28%"/>
          </w:tcPr>
          <w:p>
            <w:pPr>
              <w:spacing w:after="80" w:before="80"/>
            </w:pPr>
            <w:r>
              <w:rPr>
                <w:rFonts w:ascii="Arial" w:cs="Arial" w:eastAsia="Arial" w:hAnsi="Arial"/>
                <w:b w:val="false"/>
                <w:bCs w:val="false"/>
                <w:color w:val="334155"/>
                <w:sz w:val="22"/>
                <w:szCs w:val="22"/>
              </w:rPr>
              <w:t xml:space="preserve">Processing Latency</w:t>
            </w:r>
          </w:p>
        </w:tc>
        <w:tc>
          <w:tcPr>
            <w:tcW w:type="pct" w:w="32%"/>
          </w:tcPr>
          <w:p>
            <w:pPr>
              <w:spacing w:after="80" w:before="80"/>
            </w:pPr>
            <w:r>
              <w:rPr>
                <w:rFonts w:ascii="Arial" w:cs="Arial" w:eastAsia="Arial" w:hAnsi="Arial"/>
                <w:b w:val="false"/>
                <w:bCs w:val="false"/>
                <w:color w:val="334155"/>
                <w:sz w:val="22"/>
                <w:szCs w:val="22"/>
              </w:rPr>
              <w:t xml:space="preserve">~28,990 ms (Upload + Remote Queue + Network)</w:t>
            </w:r>
          </w:p>
        </w:tc>
        <w:tc>
          <w:tcPr>
            <w:tcW w:type="pct" w:w="22%"/>
          </w:tcPr>
          <w:p>
            <w:pPr>
              <w:spacing w:after="80" w:before="80"/>
            </w:pPr>
            <w:r>
              <w:rPr>
                <w:rFonts w:ascii="Arial" w:cs="Arial" w:eastAsia="Arial" w:hAnsi="Arial"/>
                <w:b w:val="false"/>
                <w:bCs w:val="false"/>
                <w:color w:val="334155"/>
                <w:sz w:val="22"/>
                <w:szCs w:val="22"/>
              </w:rPr>
              <w:t xml:space="preserve">381 ms (Direct stream parse)</w:t>
            </w:r>
          </w:p>
        </w:tc>
        <w:tc>
          <w:tcPr>
            <w:tcW w:type="pct" w:w="18%"/>
          </w:tcPr>
          <w:p>
            <w:pPr>
              <w:spacing w:after="80" w:before="80"/>
            </w:pPr>
            <w:r>
              <w:rPr>
                <w:rFonts w:ascii="Arial" w:cs="Arial" w:eastAsia="Arial" w:hAnsi="Arial"/>
                <w:b w:val="false"/>
                <w:bCs w:val="false"/>
                <w:color w:val="334155"/>
                <w:sz w:val="22"/>
                <w:szCs w:val="22"/>
              </w:rPr>
              <w:t xml:space="preserve">76x Faster Extraction</w:t>
            </w:r>
          </w:p>
        </w:tc>
      </w:tr>
      <w:tr>
        <w:tc>
          <w:tcPr>
            <w:tcW w:type="pct" w:w="28%"/>
          </w:tcPr>
          <w:p>
            <w:pPr>
              <w:spacing w:after="80" w:before="80"/>
            </w:pPr>
            <w:r>
              <w:rPr>
                <w:rFonts w:ascii="Arial" w:cs="Arial" w:eastAsia="Arial" w:hAnsi="Arial"/>
                <w:b w:val="false"/>
                <w:bCs w:val="false"/>
                <w:color w:val="334155"/>
                <w:sz w:val="22"/>
                <w:szCs w:val="22"/>
              </w:rPr>
              <w:t xml:space="preserve">Critical Field Match Rate</w:t>
            </w:r>
          </w:p>
        </w:tc>
        <w:tc>
          <w:tcPr>
            <w:tcW w:type="pct" w:w="32%"/>
          </w:tcPr>
          <w:p>
            <w:pPr>
              <w:spacing w:after="80" w:before="80"/>
            </w:pPr>
            <w:r>
              <w:rPr>
                <w:rFonts w:ascii="Arial" w:cs="Arial" w:eastAsia="Arial" w:hAnsi="Arial"/>
                <w:b w:val="false"/>
                <w:bCs w:val="false"/>
                <w:color w:val="334155"/>
                <w:sz w:val="22"/>
                <w:szCs w:val="22"/>
              </w:rPr>
              <w:t xml:space="preserve">100%</w:t>
            </w:r>
          </w:p>
        </w:tc>
        <w:tc>
          <w:tcPr>
            <w:tcW w:type="pct" w:w="22%"/>
          </w:tcPr>
          <w:p>
            <w:pPr>
              <w:spacing w:after="80" w:before="80"/>
            </w:pPr>
            <w:r>
              <w:rPr>
                <w:rFonts w:ascii="Arial" w:cs="Arial" w:eastAsia="Arial" w:hAnsi="Arial"/>
                <w:b w:val="false"/>
                <w:bCs w:val="false"/>
                <w:color w:val="334155"/>
                <w:sz w:val="22"/>
                <w:szCs w:val="22"/>
              </w:rPr>
              <w:t xml:space="preserve">100%</w:t>
            </w:r>
          </w:p>
        </w:tc>
        <w:tc>
          <w:tcPr>
            <w:tcW w:type="pct" w:w="18%"/>
          </w:tcPr>
          <w:p>
            <w:pPr>
              <w:spacing w:after="80" w:before="80"/>
            </w:pPr>
            <w:r>
              <w:rPr>
                <w:rFonts w:ascii="Arial" w:cs="Arial" w:eastAsia="Arial" w:hAnsi="Arial"/>
                <w:b w:val="false"/>
                <w:bCs w:val="false"/>
                <w:color w:val="334155"/>
                <w:sz w:val="22"/>
                <w:szCs w:val="22"/>
              </w:rPr>
              <w:t xml:space="preserve">Exact match on all business attributes</w:t>
            </w:r>
          </w:p>
        </w:tc>
      </w:tr>
      <w:tr>
        <w:tc>
          <w:tcPr>
            <w:tcW w:type="pct" w:w="28%"/>
          </w:tcPr>
          <w:p>
            <w:pPr>
              <w:spacing w:after="80" w:before="80"/>
            </w:pPr>
            <w:r>
              <w:rPr>
                <w:rFonts w:ascii="Arial" w:cs="Arial" w:eastAsia="Arial" w:hAnsi="Arial"/>
                <w:b w:val="false"/>
                <w:bCs w:val="false"/>
                <w:color w:val="334155"/>
                <w:sz w:val="22"/>
                <w:szCs w:val="22"/>
              </w:rPr>
              <w:t xml:space="preserve">Width &amp; Height Accuracy</w:t>
            </w:r>
          </w:p>
        </w:tc>
        <w:tc>
          <w:tcPr>
            <w:tcW w:type="pct" w:w="32%"/>
          </w:tcPr>
          <w:p>
            <w:pPr>
              <w:spacing w:after="80" w:before="80"/>
            </w:pPr>
            <w:r>
              <w:rPr>
                <w:rFonts w:ascii="Arial" w:cs="Arial" w:eastAsia="Arial" w:hAnsi="Arial"/>
                <w:b w:val="false"/>
                <w:bCs w:val="false"/>
                <w:color w:val="334155"/>
                <w:sz w:val="22"/>
                <w:szCs w:val="22"/>
              </w:rPr>
              <w:t xml:space="preserve">Identical</w:t>
            </w:r>
          </w:p>
        </w:tc>
        <w:tc>
          <w:tcPr>
            <w:tcW w:type="pct" w:w="22%"/>
          </w:tcPr>
          <w:p>
            <w:pPr>
              <w:spacing w:after="80" w:before="80"/>
            </w:pPr>
            <w:r>
              <w:rPr>
                <w:rFonts w:ascii="Arial" w:cs="Arial" w:eastAsia="Arial" w:hAnsi="Arial"/>
                <w:b w:val="false"/>
                <w:bCs w:val="false"/>
                <w:color w:val="334155"/>
                <w:sz w:val="22"/>
                <w:szCs w:val="22"/>
              </w:rPr>
              <w:t xml:space="preserve">Identical</w:t>
            </w:r>
          </w:p>
        </w:tc>
        <w:tc>
          <w:tcPr>
            <w:tcW w:type="pct" w:w="18%"/>
          </w:tcPr>
          <w:p>
            <w:pPr>
              <w:spacing w:after="80" w:before="80"/>
            </w:pPr>
            <w:r>
              <w:rPr>
                <w:rFonts w:ascii="Arial" w:cs="Arial" w:eastAsia="Arial" w:hAnsi="Arial"/>
                <w:b w:val="false"/>
                <w:bCs w:val="false"/>
                <w:color w:val="334155"/>
                <w:sz w:val="22"/>
                <w:szCs w:val="22"/>
              </w:rPr>
              <w:t xml:space="preserve">100% Exact Match</w:t>
            </w:r>
          </w:p>
        </w:tc>
      </w:tr>
      <w:tr>
        <w:tc>
          <w:tcPr>
            <w:tcW w:type="pct" w:w="28%"/>
          </w:tcPr>
          <w:p>
            <w:pPr>
              <w:spacing w:after="80" w:before="80"/>
            </w:pPr>
            <w:r>
              <w:rPr>
                <w:rFonts w:ascii="Arial" w:cs="Arial" w:eastAsia="Arial" w:hAnsi="Arial"/>
                <w:b w:val="false"/>
                <w:bCs w:val="false"/>
                <w:color w:val="334155"/>
                <w:sz w:val="22"/>
                <w:szCs w:val="22"/>
              </w:rPr>
              <w:t xml:space="preserve">File Format &amp; MIME Type</w:t>
            </w:r>
          </w:p>
        </w:tc>
        <w:tc>
          <w:tcPr>
            <w:tcW w:type="pct" w:w="32%"/>
          </w:tcPr>
          <w:p>
            <w:pPr>
              <w:spacing w:after="80" w:before="80"/>
            </w:pPr>
            <w:r>
              <w:rPr>
                <w:rFonts w:ascii="Arial" w:cs="Arial" w:eastAsia="Arial" w:hAnsi="Arial"/>
                <w:b w:val="false"/>
                <w:bCs w:val="false"/>
                <w:color w:val="334155"/>
                <w:sz w:val="22"/>
                <w:szCs w:val="22"/>
              </w:rPr>
              <w:t xml:space="preserve">Identical</w:t>
            </w:r>
          </w:p>
        </w:tc>
        <w:tc>
          <w:tcPr>
            <w:tcW w:type="pct" w:w="22%"/>
          </w:tcPr>
          <w:p>
            <w:pPr>
              <w:spacing w:after="80" w:before="80"/>
            </w:pPr>
            <w:r>
              <w:rPr>
                <w:rFonts w:ascii="Arial" w:cs="Arial" w:eastAsia="Arial" w:hAnsi="Arial"/>
                <w:b w:val="false"/>
                <w:bCs w:val="false"/>
                <w:color w:val="334155"/>
                <w:sz w:val="22"/>
                <w:szCs w:val="22"/>
              </w:rPr>
              <w:t xml:space="preserve">Identical</w:t>
            </w:r>
          </w:p>
        </w:tc>
        <w:tc>
          <w:tcPr>
            <w:tcW w:type="pct" w:w="18%"/>
          </w:tcPr>
          <w:p>
            <w:pPr>
              <w:spacing w:after="80" w:before="80"/>
            </w:pPr>
            <w:r>
              <w:rPr>
                <w:rFonts w:ascii="Arial" w:cs="Arial" w:eastAsia="Arial" w:hAnsi="Arial"/>
                <w:b w:val="false"/>
                <w:bCs w:val="false"/>
                <w:color w:val="334155"/>
                <w:sz w:val="22"/>
                <w:szCs w:val="22"/>
              </w:rPr>
              <w:t xml:space="preserve">100% Exact Match</w:t>
            </w:r>
          </w:p>
        </w:tc>
      </w:tr>
      <w:tr>
        <w:tc>
          <w:tcPr>
            <w:tcW w:type="pct" w:w="28%"/>
          </w:tcPr>
          <w:p>
            <w:pPr>
              <w:spacing w:after="80" w:before="80"/>
            </w:pPr>
            <w:r>
              <w:rPr>
                <w:rFonts w:ascii="Arial" w:cs="Arial" w:eastAsia="Arial" w:hAnsi="Arial"/>
                <w:b w:val="false"/>
                <w:bCs w:val="false"/>
                <w:color w:val="334155"/>
                <w:sz w:val="22"/>
                <w:szCs w:val="22"/>
              </w:rPr>
              <w:t xml:space="preserve">Color Profiling &amp; Bit Depth</w:t>
            </w:r>
          </w:p>
        </w:tc>
        <w:tc>
          <w:tcPr>
            <w:tcW w:type="pct" w:w="32%"/>
          </w:tcPr>
          <w:p>
            <w:pPr>
              <w:spacing w:after="80" w:before="80"/>
            </w:pPr>
            <w:r>
              <w:rPr>
                <w:rFonts w:ascii="Arial" w:cs="Arial" w:eastAsia="Arial" w:hAnsi="Arial"/>
                <w:b w:val="false"/>
                <w:bCs w:val="false"/>
                <w:color w:val="334155"/>
                <w:sz w:val="22"/>
                <w:szCs w:val="22"/>
              </w:rPr>
              <w:t xml:space="preserve">Identical</w:t>
            </w:r>
          </w:p>
        </w:tc>
        <w:tc>
          <w:tcPr>
            <w:tcW w:type="pct" w:w="22%"/>
          </w:tcPr>
          <w:p>
            <w:pPr>
              <w:spacing w:after="80" w:before="80"/>
            </w:pPr>
            <w:r>
              <w:rPr>
                <w:rFonts w:ascii="Arial" w:cs="Arial" w:eastAsia="Arial" w:hAnsi="Arial"/>
                <w:b w:val="false"/>
                <w:bCs w:val="false"/>
                <w:color w:val="334155"/>
                <w:sz w:val="22"/>
                <w:szCs w:val="22"/>
              </w:rPr>
              <w:t xml:space="preserve">Identical</w:t>
            </w:r>
          </w:p>
        </w:tc>
        <w:tc>
          <w:tcPr>
            <w:tcW w:type="pct" w:w="18%"/>
          </w:tcPr>
          <w:p>
            <w:pPr>
              <w:spacing w:after="80" w:before="80"/>
            </w:pPr>
            <w:r>
              <w:rPr>
                <w:rFonts w:ascii="Arial" w:cs="Arial" w:eastAsia="Arial" w:hAnsi="Arial"/>
                <w:b w:val="false"/>
                <w:bCs w:val="false"/>
                <w:color w:val="334155"/>
                <w:sz w:val="22"/>
                <w:szCs w:val="22"/>
              </w:rPr>
              <w:t xml:space="preserve">100% Exact Match</w:t>
            </w:r>
          </w:p>
        </w:tc>
      </w:tr>
      <w:tr>
        <w:tc>
          <w:tcPr>
            <w:tcW w:type="pct" w:w="28%"/>
          </w:tcPr>
          <w:p>
            <w:pPr>
              <w:spacing w:after="80" w:before="80"/>
            </w:pPr>
            <w:r>
              <w:rPr>
                <w:rFonts w:ascii="Arial" w:cs="Arial" w:eastAsia="Arial" w:hAnsi="Arial"/>
                <w:b w:val="false"/>
                <w:bCs w:val="false"/>
                <w:color w:val="334155"/>
                <w:sz w:val="22"/>
                <w:szCs w:val="22"/>
              </w:rPr>
              <w:t xml:space="preserve">Third-Party SaaS Cost</w:t>
            </w:r>
          </w:p>
        </w:tc>
        <w:tc>
          <w:tcPr>
            <w:tcW w:type="pct" w:w="32%"/>
          </w:tcPr>
          <w:p>
            <w:pPr>
              <w:spacing w:after="80" w:before="80"/>
            </w:pPr>
            <w:r>
              <w:rPr>
                <w:rFonts w:ascii="Arial" w:cs="Arial" w:eastAsia="Arial" w:hAnsi="Arial"/>
                <w:b w:val="false"/>
                <w:bCs w:val="false"/>
                <w:color w:val="334155"/>
                <w:sz w:val="22"/>
                <w:szCs w:val="22"/>
              </w:rPr>
              <w:t xml:space="preserve">Recurring monthly credit billing</w:t>
            </w:r>
          </w:p>
        </w:tc>
        <w:tc>
          <w:tcPr>
            <w:tcW w:type="pct" w:w="22%"/>
          </w:tcPr>
          <w:p>
            <w:pPr>
              <w:spacing w:after="80" w:before="80"/>
            </w:pPr>
            <w:r>
              <w:rPr>
                <w:rFonts w:ascii="Arial" w:cs="Arial" w:eastAsia="Arial" w:hAnsi="Arial"/>
                <w:b w:val="false"/>
                <w:bCs w:val="false"/>
                <w:color w:val="334155"/>
                <w:sz w:val="22"/>
                <w:szCs w:val="22"/>
              </w:rPr>
              <w:t xml:space="preserve">$0.00</w:t>
            </w:r>
          </w:p>
        </w:tc>
        <w:tc>
          <w:tcPr>
            <w:tcW w:type="pct" w:w="18%"/>
          </w:tcPr>
          <w:p>
            <w:pPr>
              <w:spacing w:after="80" w:before="80"/>
            </w:pPr>
            <w:r>
              <w:rPr>
                <w:rFonts w:ascii="Arial" w:cs="Arial" w:eastAsia="Arial" w:hAnsi="Arial"/>
                <w:b w:val="false"/>
                <w:bCs w:val="false"/>
                <w:color w:val="334155"/>
                <w:sz w:val="22"/>
                <w:szCs w:val="22"/>
              </w:rPr>
              <w:t xml:space="preserve">Complete Cost Elimination</w:t>
            </w:r>
          </w:p>
        </w:tc>
      </w:tr>
    </w:tbl>
    <w:p>
      <w:pPr>
        <w:spacing w:after="60" w:before="180"/>
      </w:pPr>
    </w:p>
    <w:p>
      <w:pPr>
        <w:pStyle w:val="Heading1"/>
        <w:spacing w:after="100" w:before="260"/>
      </w:pPr>
      <w:r>
        <w:rPr>
          <w:rFonts w:ascii="Arial" w:cs="Arial" w:eastAsia="Arial" w:hAnsi="Arial"/>
          <w:b/>
          <w:bCs/>
          <w:color w:val="0F172A"/>
          <w:sz w:val="28"/>
          <w:szCs w:val="28"/>
        </w:rPr>
        <w:t xml:space="preserve">5. Architectural Enhancements &amp; Stability</w:t>
      </w:r>
    </w:p>
    <w:p>
      <w:pPr>
        <w:spacing w:after="120" w:before="100"/>
      </w:pPr>
      <w:r>
        <w:rPr>
          <w:rFonts w:ascii="Arial" w:cs="Arial" w:eastAsia="Arial" w:hAnsi="Arial"/>
          <w:b w:val="false"/>
          <w:bCs w:val="false"/>
          <w:i w:val="false"/>
          <w:iCs w:val="false"/>
          <w:color w:val="1E293B"/>
          <w:sz w:val="24"/>
          <w:szCs w:val="24"/>
        </w:rPr>
        <w:t xml:space="preserve">• Burst Upload Protection: During large campaign launches, Amazon SQS buffers incoming jobs to ensure the Lambda processes files steadily without database connection spikes.</w:t>
      </w:r>
    </w:p>
    <w:p>
      <w:pPr>
        <w:spacing w:after="120" w:before="100"/>
      </w:pPr>
      <w:r>
        <w:rPr>
          <w:rFonts w:ascii="Arial" w:cs="Arial" w:eastAsia="Arial" w:hAnsi="Arial"/>
          <w:b w:val="false"/>
          <w:bCs w:val="false"/>
          <w:i w:val="false"/>
          <w:iCs w:val="false"/>
          <w:color w:val="1E293B"/>
          <w:sz w:val="24"/>
          <w:szCs w:val="24"/>
        </w:rPr>
        <w:t xml:space="preserve">• Automated Error Handling: Corrupt or malformed files route to a Dead-Letter Queue (DLQ) for alerting without blocking remaining assets.</w:t>
      </w:r>
    </w:p>
    <w:p>
      <w:pPr>
        <w:spacing w:after="120" w:before="100"/>
      </w:pPr>
      <w:r>
        <w:rPr>
          <w:rFonts w:ascii="Arial" w:cs="Arial" w:eastAsia="Arial" w:hAnsi="Arial"/>
          <w:b w:val="false"/>
          <w:bCs w:val="false"/>
          <w:i w:val="false"/>
          <w:iCs w:val="false"/>
          <w:color w:val="1E293B"/>
          <w:sz w:val="24"/>
          <w:szCs w:val="24"/>
        </w:rPr>
        <w:t xml:space="preserve">• Enhanced Security: Media assets remain entirely inside our private AWS environment.</w:t>
      </w:r>
    </w:p>
    <w:p>
      <w:pPr>
        <w:pStyle w:val="Heading1"/>
        <w:spacing w:after="100" w:before="260"/>
      </w:pPr>
      <w:r>
        <w:rPr>
          <w:rFonts w:ascii="Arial" w:cs="Arial" w:eastAsia="Arial" w:hAnsi="Arial"/>
          <w:b/>
          <w:bCs/>
          <w:color w:val="0F172A"/>
          <w:sz w:val="28"/>
          <w:szCs w:val="28"/>
        </w:rPr>
        <w:t xml:space="preserve">6. Strategic Business Impact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1F5F9" w:val="clear"/>
          </w:tcPr>
          <w:p>
            <w:pPr>
              <w:spacing w:after="80" w:before="80"/>
            </w:pPr>
            <w:r>
              <w:rPr>
                <w:rFonts w:ascii="Arial" w:cs="Arial" w:eastAsia="Arial" w:hAnsi="Arial"/>
                <w:b/>
                <w:bCs/>
                <w:color w:val="0F172A"/>
                <w:sz w:val="22"/>
                <w:szCs w:val="22"/>
              </w:rPr>
              <w:t xml:space="preserve">Strategic Area</w:t>
            </w:r>
          </w:p>
        </w:tc>
        <w:tc>
          <w:tcPr>
            <w:tcW w:type="pct" w:w="28%"/>
            <w:shd w:fill="F1F5F9" w:val="clear"/>
          </w:tcPr>
          <w:p>
            <w:pPr>
              <w:spacing w:after="80" w:before="80"/>
            </w:pPr>
            <w:r>
              <w:rPr>
                <w:rFonts w:ascii="Arial" w:cs="Arial" w:eastAsia="Arial" w:hAnsi="Arial"/>
                <w:b/>
                <w:bCs/>
                <w:color w:val="0F172A"/>
                <w:sz w:val="22"/>
                <w:szCs w:val="22"/>
              </w:rPr>
              <w:t xml:space="preserve">Current State (CloudConvert SaaS)</w:t>
            </w:r>
          </w:p>
        </w:tc>
        <w:tc>
          <w:tcPr>
            <w:tcW w:type="pct" w:w="25%"/>
            <w:shd w:fill="F1F5F9" w:val="clear"/>
          </w:tcPr>
          <w:p>
            <w:pPr>
              <w:spacing w:after="80" w:before="80"/>
            </w:pPr>
            <w:r>
              <w:rPr>
                <w:rFonts w:ascii="Arial" w:cs="Arial" w:eastAsia="Arial" w:hAnsi="Arial"/>
                <w:b/>
                <w:bCs/>
                <w:color w:val="0F172A"/>
                <w:sz w:val="22"/>
                <w:szCs w:val="22"/>
              </w:rPr>
              <w:t xml:space="preserve">Proposed State (In-House Engine)</w:t>
            </w:r>
          </w:p>
        </w:tc>
        <w:tc>
          <w:tcPr>
            <w:tcW w:type="pct" w:w="25%"/>
            <w:shd w:fill="F1F5F9" w:val="clear"/>
          </w:tcPr>
          <w:p>
            <w:pPr>
              <w:spacing w:after="80" w:before="80"/>
            </w:pPr>
            <w:r>
              <w:rPr>
                <w:rFonts w:ascii="Arial" w:cs="Arial" w:eastAsia="Arial" w:hAnsi="Arial"/>
                <w:b/>
                <w:bCs/>
                <w:color w:val="0F172A"/>
                <w:sz w:val="22"/>
                <w:szCs w:val="22"/>
              </w:rPr>
              <w:t xml:space="preserve">Business Benefit</w:t>
            </w:r>
          </w:p>
        </w:tc>
      </w:tr>
      <w:tr>
        <w:tc>
          <w:tcPr>
            <w:tcW w:type="pct" w:w="22%"/>
          </w:tcPr>
          <w:p>
            <w:pPr>
              <w:spacing w:after="80" w:before="80"/>
            </w:pPr>
            <w:r>
              <w:rPr>
                <w:rFonts w:ascii="Arial" w:cs="Arial" w:eastAsia="Arial" w:hAnsi="Arial"/>
                <w:b w:val="false"/>
                <w:bCs w:val="false"/>
                <w:color w:val="334155"/>
                <w:sz w:val="22"/>
                <w:szCs w:val="22"/>
              </w:rPr>
              <w:t xml:space="preserve">Third-Party SaaS Cost</w:t>
            </w:r>
          </w:p>
        </w:tc>
        <w:tc>
          <w:tcPr>
            <w:tcW w:type="pct" w:w="28%"/>
          </w:tcPr>
          <w:p>
            <w:pPr>
              <w:spacing w:after="80" w:before="80"/>
            </w:pPr>
            <w:r>
              <w:rPr>
                <w:rFonts w:ascii="Arial" w:cs="Arial" w:eastAsia="Arial" w:hAnsi="Arial"/>
                <w:b w:val="false"/>
                <w:bCs w:val="false"/>
                <w:color w:val="334155"/>
                <w:sz w:val="22"/>
                <w:szCs w:val="22"/>
              </w:rPr>
              <w:t xml:space="preserve">Recurring monthly credit billing</w:t>
            </w:r>
          </w:p>
        </w:tc>
        <w:tc>
          <w:tcPr>
            <w:tcW w:type="pct" w:w="25%"/>
          </w:tcPr>
          <w:p>
            <w:pPr>
              <w:spacing w:after="80" w:before="80"/>
            </w:pPr>
            <w:r>
              <w:rPr>
                <w:rFonts w:ascii="Arial" w:cs="Arial" w:eastAsia="Arial" w:hAnsi="Arial"/>
                <w:b w:val="false"/>
                <w:bCs w:val="false"/>
                <w:color w:val="334155"/>
                <w:sz w:val="22"/>
                <w:szCs w:val="22"/>
              </w:rPr>
              <w:t xml:space="preserve">$0.00 / month</w:t>
            </w:r>
          </w:p>
        </w:tc>
        <w:tc>
          <w:tcPr>
            <w:tcW w:type="pct" w:w="25%"/>
          </w:tcPr>
          <w:p>
            <w:pPr>
              <w:spacing w:after="80" w:before="80"/>
            </w:pPr>
            <w:r>
              <w:rPr>
                <w:rFonts w:ascii="Arial" w:cs="Arial" w:eastAsia="Arial" w:hAnsi="Arial"/>
                <w:b w:val="false"/>
                <w:bCs w:val="false"/>
                <w:color w:val="334155"/>
                <w:sz w:val="22"/>
                <w:szCs w:val="22"/>
              </w:rPr>
              <w:t xml:space="preserve">Direct operational savings.</w:t>
            </w:r>
          </w:p>
        </w:tc>
      </w:tr>
      <w:tr>
        <w:tc>
          <w:tcPr>
            <w:tcW w:type="pct" w:w="22%"/>
          </w:tcPr>
          <w:p>
            <w:pPr>
              <w:spacing w:after="80" w:before="80"/>
            </w:pPr>
            <w:r>
              <w:rPr>
                <w:rFonts w:ascii="Arial" w:cs="Arial" w:eastAsia="Arial" w:hAnsi="Arial"/>
                <w:b w:val="false"/>
                <w:bCs w:val="false"/>
                <w:color w:val="334155"/>
                <w:sz w:val="22"/>
                <w:szCs w:val="22"/>
              </w:rPr>
              <w:t xml:space="preserve">Infrastructure Cost</w:t>
            </w:r>
          </w:p>
        </w:tc>
        <w:tc>
          <w:tcPr>
            <w:tcW w:type="pct" w:w="28%"/>
          </w:tcPr>
          <w:p>
            <w:pPr>
              <w:spacing w:after="80" w:before="80"/>
            </w:pPr>
            <w:r>
              <w:rPr>
                <w:rFonts w:ascii="Arial" w:cs="Arial" w:eastAsia="Arial" w:hAnsi="Arial"/>
                <w:b w:val="false"/>
                <w:bCs w:val="false"/>
                <w:color w:val="334155"/>
                <w:sz w:val="22"/>
                <w:szCs w:val="22"/>
              </w:rPr>
              <w:t xml:space="preserve">Existing Lambda</w:t>
            </w:r>
          </w:p>
        </w:tc>
        <w:tc>
          <w:tcPr>
            <w:tcW w:type="pct" w:w="25%"/>
          </w:tcPr>
          <w:p>
            <w:pPr>
              <w:spacing w:after="80" w:before="80"/>
            </w:pPr>
            <w:r>
              <w:rPr>
                <w:rFonts w:ascii="Arial" w:cs="Arial" w:eastAsia="Arial" w:hAnsi="Arial"/>
                <w:b w:val="false"/>
                <w:bCs w:val="false"/>
                <w:color w:val="334155"/>
                <w:sz w:val="22"/>
                <w:szCs w:val="22"/>
              </w:rPr>
              <w:t xml:space="preserve">Existing Lambda (No change)</w:t>
            </w:r>
          </w:p>
        </w:tc>
        <w:tc>
          <w:tcPr>
            <w:tcW w:type="pct" w:w="25%"/>
          </w:tcPr>
          <w:p>
            <w:pPr>
              <w:spacing w:after="80" w:before="80"/>
            </w:pPr>
            <w:r>
              <w:rPr>
                <w:rFonts w:ascii="Arial" w:cs="Arial" w:eastAsia="Arial" w:hAnsi="Arial"/>
                <w:b w:val="false"/>
                <w:bCs w:val="false"/>
                <w:color w:val="334155"/>
                <w:sz w:val="22"/>
                <w:szCs w:val="22"/>
              </w:rPr>
              <w:t xml:space="preserve">Zero added compute spend.</w:t>
            </w:r>
          </w:p>
        </w:tc>
      </w:tr>
      <w:tr>
        <w:tc>
          <w:tcPr>
            <w:tcW w:type="pct" w:w="22%"/>
          </w:tcPr>
          <w:p>
            <w:pPr>
              <w:spacing w:after="80" w:before="80"/>
            </w:pPr>
            <w:r>
              <w:rPr>
                <w:rFonts w:ascii="Arial" w:cs="Arial" w:eastAsia="Arial" w:hAnsi="Arial"/>
                <w:b w:val="false"/>
                <w:bCs w:val="false"/>
                <w:color w:val="334155"/>
                <w:sz w:val="22"/>
                <w:szCs w:val="22"/>
              </w:rPr>
              <w:t xml:space="preserve">Processing Speed</w:t>
            </w:r>
          </w:p>
        </w:tc>
        <w:tc>
          <w:tcPr>
            <w:tcW w:type="pct" w:w="28%"/>
          </w:tcPr>
          <w:p>
            <w:pPr>
              <w:spacing w:after="80" w:before="80"/>
            </w:pPr>
            <w:r>
              <w:rPr>
                <w:rFonts w:ascii="Arial" w:cs="Arial" w:eastAsia="Arial" w:hAnsi="Arial"/>
                <w:b w:val="false"/>
                <w:bCs w:val="false"/>
                <w:color w:val="334155"/>
                <w:sz w:val="22"/>
                <w:szCs w:val="22"/>
              </w:rPr>
              <w:t xml:space="preserve">2 to 28 seconds per asset</w:t>
            </w:r>
          </w:p>
        </w:tc>
        <w:tc>
          <w:tcPr>
            <w:tcW w:type="pct" w:w="25%"/>
          </w:tcPr>
          <w:p>
            <w:pPr>
              <w:spacing w:after="80" w:before="80"/>
            </w:pPr>
            <w:r>
              <w:rPr>
                <w:rFonts w:ascii="Arial" w:cs="Arial" w:eastAsia="Arial" w:hAnsi="Arial"/>
                <w:b w:val="false"/>
                <w:bCs w:val="false"/>
                <w:color w:val="334155"/>
                <w:sz w:val="22"/>
                <w:szCs w:val="22"/>
              </w:rPr>
              <w:t xml:space="preserve">Under 400 milliseconds</w:t>
            </w:r>
          </w:p>
        </w:tc>
        <w:tc>
          <w:tcPr>
            <w:tcW w:type="pct" w:w="25%"/>
          </w:tcPr>
          <w:p>
            <w:pPr>
              <w:spacing w:after="80" w:before="80"/>
            </w:pPr>
            <w:r>
              <w:rPr>
                <w:rFonts w:ascii="Arial" w:cs="Arial" w:eastAsia="Arial" w:hAnsi="Arial"/>
                <w:b w:val="false"/>
                <w:bCs w:val="false"/>
                <w:color w:val="334155"/>
                <w:sz w:val="22"/>
                <w:szCs w:val="22"/>
              </w:rPr>
              <w:t xml:space="preserve">Snappier UI and faster asset availability.</w:t>
            </w:r>
          </w:p>
        </w:tc>
      </w:tr>
      <w:tr>
        <w:tc>
          <w:tcPr>
            <w:tcW w:type="pct" w:w="22%"/>
          </w:tcPr>
          <w:p>
            <w:pPr>
              <w:spacing w:after="80" w:before="80"/>
            </w:pPr>
            <w:r>
              <w:rPr>
                <w:rFonts w:ascii="Arial" w:cs="Arial" w:eastAsia="Arial" w:hAnsi="Arial"/>
                <w:b w:val="false"/>
                <w:bCs w:val="false"/>
                <w:color w:val="334155"/>
                <w:sz w:val="22"/>
                <w:szCs w:val="22"/>
              </w:rPr>
              <w:t xml:space="preserve">Data Consistency</w:t>
            </w:r>
          </w:p>
        </w:tc>
        <w:tc>
          <w:tcPr>
            <w:tcW w:type="pct" w:w="28%"/>
          </w:tcPr>
          <w:p>
            <w:pPr>
              <w:spacing w:after="80" w:before="80"/>
            </w:pPr>
            <w:r>
              <w:rPr>
                <w:rFonts w:ascii="Arial" w:cs="Arial" w:eastAsia="Arial" w:hAnsi="Arial"/>
                <w:b w:val="false"/>
                <w:bCs w:val="false"/>
                <w:color w:val="334155"/>
                <w:sz w:val="22"/>
                <w:szCs w:val="22"/>
              </w:rPr>
              <w:t xml:space="preserve">Vulnerable to unannounced upstream changes</w:t>
            </w:r>
          </w:p>
        </w:tc>
        <w:tc>
          <w:tcPr>
            <w:tcW w:type="pct" w:w="25%"/>
          </w:tcPr>
          <w:p>
            <w:pPr>
              <w:spacing w:after="80" w:before="80"/>
            </w:pPr>
            <w:r>
              <w:rPr>
                <w:rFonts w:ascii="Arial" w:cs="Arial" w:eastAsia="Arial" w:hAnsi="Arial"/>
                <w:b w:val="false"/>
                <w:bCs w:val="false"/>
                <w:color w:val="334155"/>
                <w:sz w:val="22"/>
                <w:szCs w:val="22"/>
              </w:rPr>
              <w:t xml:space="preserve">Fixed, version-controlled schema</w:t>
            </w:r>
          </w:p>
        </w:tc>
        <w:tc>
          <w:tcPr>
            <w:tcW w:type="pct" w:w="25%"/>
          </w:tcPr>
          <w:p>
            <w:pPr>
              <w:spacing w:after="80" w:before="80"/>
            </w:pPr>
            <w:r>
              <w:rPr>
                <w:rFonts w:ascii="Arial" w:cs="Arial" w:eastAsia="Arial" w:hAnsi="Arial"/>
                <w:b w:val="false"/>
                <w:bCs w:val="false"/>
                <w:color w:val="334155"/>
                <w:sz w:val="22"/>
                <w:szCs w:val="22"/>
              </w:rPr>
              <w:t xml:space="preserve">Eliminates code complexity and maintenance.</w:t>
            </w:r>
          </w:p>
        </w:tc>
      </w:tr>
      <w:tr>
        <w:tc>
          <w:tcPr>
            <w:tcW w:type="pct" w:w="22%"/>
          </w:tcPr>
          <w:p>
            <w:pPr>
              <w:spacing w:after="80" w:before="80"/>
            </w:pPr>
            <w:r>
              <w:rPr>
                <w:rFonts w:ascii="Arial" w:cs="Arial" w:eastAsia="Arial" w:hAnsi="Arial"/>
                <w:b w:val="false"/>
                <w:bCs w:val="false"/>
                <w:color w:val="334155"/>
                <w:sz w:val="22"/>
                <w:szCs w:val="22"/>
              </w:rPr>
              <w:t xml:space="preserve">Queue Stability</w:t>
            </w:r>
          </w:p>
        </w:tc>
        <w:tc>
          <w:tcPr>
            <w:tcW w:type="pct" w:w="28%"/>
          </w:tcPr>
          <w:p>
            <w:pPr>
              <w:spacing w:after="80" w:before="80"/>
            </w:pPr>
            <w:r>
              <w:rPr>
                <w:rFonts w:ascii="Arial" w:cs="Arial" w:eastAsia="Arial" w:hAnsi="Arial"/>
                <w:b w:val="false"/>
                <w:bCs w:val="false"/>
                <w:color w:val="334155"/>
                <w:sz w:val="22"/>
                <w:szCs w:val="22"/>
              </w:rPr>
              <w:t xml:space="preserve">Direct invocation model</w:t>
            </w:r>
          </w:p>
        </w:tc>
        <w:tc>
          <w:tcPr>
            <w:tcW w:type="pct" w:w="25%"/>
          </w:tcPr>
          <w:p>
            <w:pPr>
              <w:spacing w:after="80" w:before="80"/>
            </w:pPr>
            <w:r>
              <w:rPr>
                <w:rFonts w:ascii="Arial" w:cs="Arial" w:eastAsia="Arial" w:hAnsi="Arial"/>
                <w:b w:val="false"/>
                <w:bCs w:val="false"/>
                <w:color w:val="334155"/>
                <w:sz w:val="22"/>
                <w:szCs w:val="22"/>
              </w:rPr>
              <w:t xml:space="preserve">Message queue buffer (Amazon SQS)</w:t>
            </w:r>
          </w:p>
        </w:tc>
        <w:tc>
          <w:tcPr>
            <w:tcW w:type="pct" w:w="25%"/>
          </w:tcPr>
          <w:p>
            <w:pPr>
              <w:spacing w:after="80" w:before="80"/>
            </w:pPr>
            <w:r>
              <w:rPr>
                <w:rFonts w:ascii="Arial" w:cs="Arial" w:eastAsia="Arial" w:hAnsi="Arial"/>
                <w:b w:val="false"/>
                <w:bCs w:val="false"/>
                <w:color w:val="334155"/>
                <w:sz w:val="22"/>
                <w:szCs w:val="22"/>
              </w:rPr>
              <w:t xml:space="preserve">Higher reliability during peak upload volumes.</w:t>
            </w:r>
          </w:p>
        </w:tc>
      </w:tr>
      <w:tr>
        <w:tc>
          <w:tcPr>
            <w:tcW w:type="pct" w:w="22%"/>
          </w:tcPr>
          <w:p>
            <w:pPr>
              <w:spacing w:after="80" w:before="80"/>
            </w:pPr>
            <w:r>
              <w:rPr>
                <w:rFonts w:ascii="Arial" w:cs="Arial" w:eastAsia="Arial" w:hAnsi="Arial"/>
                <w:b w:val="false"/>
                <w:bCs w:val="false"/>
                <w:color w:val="334155"/>
                <w:sz w:val="22"/>
                <w:szCs w:val="22"/>
              </w:rPr>
              <w:t xml:space="preserve">Data Privacy</w:t>
            </w:r>
          </w:p>
        </w:tc>
        <w:tc>
          <w:tcPr>
            <w:tcW w:type="pct" w:w="28%"/>
          </w:tcPr>
          <w:p>
            <w:pPr>
              <w:spacing w:after="80" w:before="80"/>
            </w:pPr>
            <w:r>
              <w:rPr>
                <w:rFonts w:ascii="Arial" w:cs="Arial" w:eastAsia="Arial" w:hAnsi="Arial"/>
                <w:b w:val="false"/>
                <w:bCs w:val="false"/>
                <w:color w:val="334155"/>
                <w:sz w:val="22"/>
                <w:szCs w:val="22"/>
              </w:rPr>
              <w:t xml:space="preserve">Files sent to external third-party servers</w:t>
            </w:r>
          </w:p>
        </w:tc>
        <w:tc>
          <w:tcPr>
            <w:tcW w:type="pct" w:w="25%"/>
          </w:tcPr>
          <w:p>
            <w:pPr>
              <w:spacing w:after="80" w:before="80"/>
            </w:pPr>
            <w:r>
              <w:rPr>
                <w:rFonts w:ascii="Arial" w:cs="Arial" w:eastAsia="Arial" w:hAnsi="Arial"/>
                <w:b w:val="false"/>
                <w:bCs w:val="false"/>
                <w:color w:val="334155"/>
                <w:sz w:val="22"/>
                <w:szCs w:val="22"/>
              </w:rPr>
              <w:t xml:space="preserve">Contained within private AWS cloud</w:t>
            </w:r>
          </w:p>
        </w:tc>
        <w:tc>
          <w:tcPr>
            <w:tcW w:type="pct" w:w="25%"/>
          </w:tcPr>
          <w:p>
            <w:pPr>
              <w:spacing w:after="80" w:before="80"/>
            </w:pPr>
            <w:r>
              <w:rPr>
                <w:rFonts w:ascii="Arial" w:cs="Arial" w:eastAsia="Arial" w:hAnsi="Arial"/>
                <w:b w:val="false"/>
                <w:bCs w:val="false"/>
                <w:color w:val="334155"/>
                <w:sz w:val="22"/>
                <w:szCs w:val="22"/>
              </w:rPr>
              <w:t xml:space="preserve">Full data privacy and compliance.</w:t>
            </w:r>
          </w:p>
        </w:tc>
      </w:tr>
    </w:tbl>
    <w:p>
      <w:pPr>
        <w:pStyle w:val="Heading1"/>
        <w:spacing w:after="100" w:before="260"/>
      </w:pPr>
      <w:r>
        <w:rPr>
          <w:rFonts w:ascii="Arial" w:cs="Arial" w:eastAsia="Arial" w:hAnsi="Arial"/>
          <w:b/>
          <w:bCs/>
          <w:color w:val="0F172A"/>
          <w:sz w:val="28"/>
          <w:szCs w:val="28"/>
        </w:rPr>
        <w:t xml:space="preserve">7. Conclusion</w:t>
      </w:r>
    </w:p>
    <w:p>
      <w:pPr>
        <w:spacing w:after="120" w:before="100"/>
      </w:pPr>
      <w:r>
        <w:rPr>
          <w:rFonts w:ascii="Arial" w:cs="Arial" w:eastAsia="Arial" w:hAnsi="Arial"/>
          <w:b w:val="false"/>
          <w:bCs w:val="false"/>
          <w:i w:val="false"/>
          <w:iCs w:val="false"/>
          <w:color w:val="1E293B"/>
          <w:sz w:val="24"/>
          <w:szCs w:val="24"/>
        </w:rPr>
        <w:t xml:space="preserve">Replacing the external CloudConvert integration with an in-house engine inside our existing Lambda resolves the long-standing schema drift challenge, accelerates asset ingestion from multi-second queues to sub-second execution, eliminates recurring SaaS expenses, and introduces message queue buffering for peak upload stability.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2026-08-28T10:53:50.562Z</dcterms:created>
  <dcterms:modified xsi:type="dcterms:W3CDTF">2026-08-28T10:53:50.646Z</dcterms:modified>
</cp:coreProperties>
</file>

<file path=docProps/custom.xml><?xml version="1.0" encoding="utf-8"?>
<Properties xmlns="http://schemas.openxmlformats.org/officeDocument/2006/custom-properties" xmlns:vt="http://schemas.openxmlformats.org/officeDocument/2006/docPropsVTypes"/>
</file>