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6"/>
        </w:rPr>
        <w:t>老年人四项功能评估</w:t>
      </w:r>
    </w:p>
    <w:p>
      <w:pPr>
        <w:jc w:val="center"/>
      </w:pPr>
      <w:r>
        <w:rPr>
          <w:rFonts w:ascii="Microsoft YaHei" w:hAnsi="Microsoft YaHei" w:eastAsia="Microsoft YaHei"/>
          <w:b/>
          <w:color w:val="5B9BD5"/>
          <w:sz w:val="36"/>
        </w:rPr>
        <w:t>AI老人版结论文案库 V1.0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适用于：社区/居家老人初筛报告、产品端自动结论、家属版解释页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F8"/>
            <w:tcBorders>
              <w:top w:sz="8" w:val="single" w:color="9ECAE1"/>
              <w:left w:sz="8" w:val="single" w:color="9ECAE1"/>
              <w:bottom w:sz="8" w:val="single" w:color="9ECAE1"/>
              <w:right w:sz="8" w:val="single" w:color="9ECAE1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使用原则：本结论文案用于健康初筛和功能提示，不使用“诊断”“确诊”等表述。建议统一使用“提示、需要关注、建议进一步评估”等风险沟通语言。</w:t>
            </w:r>
          </w:p>
        </w:tc>
      </w:tr>
    </w:tbl>
    <w:p/>
    <w:p>
      <w:pPr>
        <w:pStyle w:val="Heading1"/>
      </w:pPr>
      <w:r>
        <w:t>一、结论生成总规则</w:t>
      </w:r>
    </w:p>
    <w:p>
      <w:pPr>
        <w:spacing w:after="40"/>
      </w:pPr>
      <w:r>
        <w:t>建议系统输出顺序为：</w:t>
      </w:r>
    </w:p>
    <w:p>
      <w:pPr>
        <w:ind w:left="283"/>
      </w:pPr>
      <w:r>
        <w:rPr>
          <w:b/>
        </w:rPr>
        <w:t xml:space="preserve">• </w:t>
      </w:r>
      <w:r>
        <w:t>综合等级：由总分和硬阈值共同决定。</w:t>
      </w:r>
    </w:p>
    <w:p>
      <w:pPr>
        <w:ind w:left="283"/>
      </w:pPr>
      <w:r>
        <w:rPr>
          <w:b/>
        </w:rPr>
        <w:t xml:space="preserve">• </w:t>
      </w:r>
      <w:r>
        <w:t>分项短板：优先提示得分最低或触发硬阈值的项目。</w:t>
      </w:r>
    </w:p>
    <w:p>
      <w:pPr>
        <w:ind w:left="283"/>
      </w:pPr>
      <w:r>
        <w:rPr>
          <w:b/>
        </w:rPr>
        <w:t xml:space="preserve">• </w:t>
      </w:r>
      <w:r>
        <w:t>老人版解释：先说结果，再说原因，最后给出可执行建议。</w:t>
      </w:r>
    </w:p>
    <w:p>
      <w:pPr>
        <w:ind w:left="283"/>
      </w:pPr>
      <w:r>
        <w:rPr>
          <w:b/>
        </w:rPr>
        <w:t xml:space="preserve">• </w:t>
      </w:r>
      <w:r>
        <w:t>风险规避：报告结尾固定加入“非诊断，仅用于初筛”的说明。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1F4E7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综合等级</w:t>
            </w:r>
          </w:p>
        </w:tc>
        <w:tc>
          <w:tcPr>
            <w:tcW w:type="dxa" w:w="3437"/>
            <w:vAlign w:val="center"/>
            <w:shd w:fill="1F4E7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建议触发条件</w:t>
            </w:r>
          </w:p>
        </w:tc>
        <w:tc>
          <w:tcPr>
            <w:tcW w:type="dxa" w:w="3437"/>
            <w:vAlign w:val="center"/>
            <w:shd w:fill="1F4E7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报告处理原则</w:t>
            </w:r>
          </w:p>
        </w:tc>
      </w:tr>
      <w:tr>
        <w:tc>
          <w:tcPr>
            <w:tcW w:type="dxa" w:w="3437"/>
            <w:vAlign w:val="center"/>
            <w:shd w:fill="E2F0D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整体较好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总分≥80，且无明显短板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继续保持规律活动；6–12个月复测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轻度关注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总分60–79，或单项轻度下降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针对短板训练；1–3个月复测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中度关注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总分40–59，或多个分项表现一般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加强训练并结合专业评估</w:t>
            </w:r>
          </w:p>
        </w:tc>
      </w:tr>
      <w:tr>
        <w:tc>
          <w:tcPr>
            <w:tcW w:type="dxa" w:w="3437"/>
            <w:vAlign w:val="center"/>
            <w:shd w:fill="FCE4D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重点关注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任一分项≤15，或出现明显功能短板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重点防跌倒，建议尽快进一步评估</w:t>
            </w:r>
          </w:p>
        </w:tc>
      </w:tr>
      <w:tr>
        <w:tc>
          <w:tcPr>
            <w:tcW w:type="dxa" w:w="3437"/>
            <w:vAlign w:val="center"/>
            <w:shd w:fill="FCE4D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高度关注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总分&lt;40，或多项明显异常/无法完成测试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建议尽快到社区卫生服务中心或医院评估</w:t>
            </w:r>
          </w:p>
        </w:tc>
      </w:tr>
    </w:tbl>
    <w:p>
      <w:r>
        <w:rPr>
          <w:b/>
        </w:rPr>
        <w:t>硬阈值优先提示：</w:t>
      </w:r>
      <w:r>
        <w:t>若出现男性握力&lt;28 kg、女性握力&lt;18 kg、6米步速&lt;1.0 m/s、5次起坐≥12秒，报告中应单独提示对应风险。</w:t>
      </w:r>
    </w:p>
    <w:p>
      <w:pPr>
        <w:pStyle w:val="Heading1"/>
      </w:pPr>
      <w:r>
        <w:t>二、总评结论文案</w:t>
      </w:r>
    </w:p>
    <w:p>
      <w:pPr>
        <w:pStyle w:val="Heading3"/>
      </w:pPr>
      <w:r>
        <w:t>1. 整体较好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总分≥80分，且四个分项没有明显短板。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本次综合评估结果显示，您的肌肉力量、行走能力、站立稳定性和起坐能力整体表现较好。目前日常活动能力基础较好，建议继续保持规律活动和适度力量训练。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建议继续保持步行、下肢力量训练和平衡训练，每周至少进行2–3次适度锻炼。建议每6–12个月复测一次，观察身体功能变化。</w:t>
            </w:r>
          </w:p>
        </w:tc>
      </w:tr>
    </w:tbl>
    <w:p>
      <w:pPr>
        <w:pStyle w:val="Heading3"/>
      </w:pPr>
      <w:r>
        <w:t>2. 轻度关注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总分60–79分，或某一项出现轻度下降。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本次综合评估提示，您的整体身体功能基本可维持日常生活，但已有个别能力出现下降趋势。建议重点关注表现较弱的项目，尽早通过训练进行改善。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建议增加下肢力量训练、平衡训练和规律步行。若近期出现走路变慢、起身费力、容易疲劳或曾经跌倒，建议进一步咨询社区医生或康复人员。</w:t>
            </w:r>
          </w:p>
        </w:tc>
      </w:tr>
    </w:tbl>
    <w:p>
      <w:pPr>
        <w:pStyle w:val="Heading3"/>
      </w:pPr>
      <w:r>
        <w:t>3. 中度关注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总分40–59分，或多个分项表现一般。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本次综合评估提示，您的肌力、行走、站立或起坐能力存在一定下降，可能会影响日常活动效率和行动安全。建议尽快进行针对性训练，并结合专业人员进一步评估。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建议重点加强下肢力量、起坐能力和平衡能力训练。日常活动中应注意防跌倒，避免独自进行高风险动作，如快速转身、上下楼梯或夜间独自行走。</w:t>
            </w:r>
          </w:p>
        </w:tc>
      </w:tr>
    </w:tbl>
    <w:p>
      <w:pPr>
        <w:pStyle w:val="Heading3"/>
      </w:pPr>
      <w:r>
        <w:t>4. 重点关注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任一分项≤15分，或出现明显短板，例如握力低、步速慢、起坐明显费力、站立不稳。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本次综合评估提示，您在某些身体功能方面存在明显短板，需要重点关注。该结果不代表疾病诊断，但提示肌肉力量、行动能力或站立稳定性可能下降，建议尽快进行进一步评估。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建议联系社区卫生服务中心、康复科或老年医学相关专业人员进行进一步评估。近期应注意防跌倒，避免独自外出、快速起身、湿滑地面行走和长时间站立。</w:t>
            </w:r>
          </w:p>
        </w:tc>
      </w:tr>
    </w:tbl>
    <w:p>
      <w:pPr>
        <w:pStyle w:val="Heading3"/>
      </w:pPr>
      <w:r>
        <w:t>5. 高度关注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总分&lt;40分，或多项明显异常，或无法完成测试。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本次综合评估提示，您的身体功能下降较明显，日常行走、起身、站立稳定性或肌肉力量可能已经受到影响。建议尽快进行专业评估，并在家属或照护人员协助下进行日常活动。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建议尽快到社区卫生服务中心或医院进行肌少症、跌倒风险和慢病相关评估。日常生活中建议加强陪护，注意防滑、防跌倒，必要时使用扶手、助行器等辅助工具。</w:t>
            </w:r>
          </w:p>
        </w:tc>
      </w:tr>
    </w:tbl>
    <w:p>
      <w:pPr>
        <w:pStyle w:val="Heading1"/>
      </w:pPr>
      <w:r>
        <w:t>三、握力模块结论</w:t>
      </w:r>
    </w:p>
    <w:p>
      <w:pPr>
        <w:pStyle w:val="Heading3"/>
      </w:pPr>
      <w:r>
        <w:t>握力表现较好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男性≥28 kg，女性≥18 kg，且左右差异不明显。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您的握力表现较好，说明上肢力量和整体肌肉力量基础尚可。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建议继续保持日常活动和适度力量训练。</w:t>
            </w:r>
          </w:p>
        </w:tc>
      </w:tr>
    </w:tbl>
    <w:p>
      <w:pPr>
        <w:pStyle w:val="Heading3"/>
      </w:pPr>
      <w:r>
        <w:t>握力轻度不足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接近但略低于参考阈值，或左右手差异轻度增加。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您的握力略低，提示肌肉力量储备可能开始下降。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建议增加握力训练和全身抗阻训练，例如握力球、弹力带训练、提踵和坐站训练。</w:t>
            </w:r>
          </w:p>
        </w:tc>
      </w:tr>
    </w:tbl>
    <w:p>
      <w:pPr>
        <w:pStyle w:val="Heading3"/>
      </w:pPr>
      <w:r>
        <w:t>握力明显不足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男性&lt;28 kg，女性&lt;18 kg，或明显低于同类参考水平。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您的握力偏低，提示肌肉力量不足风险增加。握力下降常用于提示老年人肌肉力量下降，需要结合体重变化、活动能力和营养状况进一步判断。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建议关注蛋白质摄入、规律力量训练，并结合步速和起坐测试结果进行综合评估。</w:t>
            </w:r>
          </w:p>
        </w:tc>
      </w:tr>
    </w:tbl>
    <w:p>
      <w:pPr>
        <w:pStyle w:val="Heading3"/>
      </w:pPr>
      <w:r>
        <w:t>握力左右差异明显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左右手差异明显，例如超过约10%–20%。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您的左右手力量存在明显差异，提示两侧力量使用或发力能力不均衡。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若近期伴随疼痛、麻木、无力或活动受限，建议进一步咨询医生。</w:t>
            </w:r>
          </w:p>
        </w:tc>
      </w:tr>
    </w:tbl>
    <w:p>
      <w:r>
        <w:br w:type="page"/>
      </w:r>
    </w:p>
    <w:p>
      <w:pPr>
        <w:pStyle w:val="Heading1"/>
      </w:pPr>
      <w:r>
        <w:t>四、步态模块结论</w:t>
      </w:r>
    </w:p>
    <w:p>
      <w:pPr>
        <w:pStyle w:val="Heading3"/>
      </w:pPr>
      <w:r>
        <w:t>步态表现较好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步速≥1.0 m/s，步态节律和左右对称性较好。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您的步行速度和步态稳定性表现较好，说明当前日常行走能力较好。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建议继续保持规律步行和下肢力量训练。</w:t>
            </w:r>
          </w:p>
        </w:tc>
      </w:tr>
    </w:tbl>
    <w:p>
      <w:pPr>
        <w:pStyle w:val="Heading3"/>
      </w:pPr>
      <w:r>
        <w:t>步速略慢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步速略低于理想水平，但未明显下降。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您的步行速度略慢，提示行走效率有所下降。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建议平时增加安全步行训练，注意保持步幅和节奏。</w:t>
            </w:r>
          </w:p>
        </w:tc>
      </w:tr>
    </w:tbl>
    <w:p>
      <w:pPr>
        <w:pStyle w:val="Heading3"/>
      </w:pPr>
      <w:r>
        <w:t>步速偏慢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步速&lt;1.0 m/s。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您的步行速度偏慢，提示行动能力下降风险增加。步速下降可能与下肢力量、平衡能力、心肺耐力或慢性疾病有关，建议结合其他测试进一步评估。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建议进行下肢力量训练、平衡训练和规律步行训练。如近期出现走路不稳、容易疲劳或跌倒，应进一步咨询专业人员。</w:t>
            </w:r>
          </w:p>
        </w:tc>
      </w:tr>
    </w:tbl>
    <w:p>
      <w:pPr>
        <w:pStyle w:val="Heading3"/>
      </w:pPr>
      <w:r>
        <w:t>步态不对称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左右步长、支撑时间、压力分布差异明显。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您的左右步态存在不均衡，提示走路时两侧腿的用力或支撑可能不一致。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若伴随疼痛、跛行或单侧无力，建议进一步检查。</w:t>
            </w:r>
          </w:p>
        </w:tc>
      </w:tr>
    </w:tbl>
    <w:p>
      <w:pPr>
        <w:pStyle w:val="Heading1"/>
      </w:pPr>
      <w:r>
        <w:t>五、静态站立模块结论</w:t>
      </w:r>
    </w:p>
    <w:p>
      <w:pPr>
        <w:pStyle w:val="Heading3"/>
      </w:pPr>
      <w:r>
        <w:t>站立稳定性较好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四阶段平衡完成等级高，COP稳定，左右/前后负荷分布较均衡。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您的站立稳定性表现较好，站立时身体重心控制较稳定，左右脚受力较均衡。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建议继续保持平衡训练和规律活动。</w:t>
            </w:r>
          </w:p>
        </w:tc>
      </w:tr>
    </w:tbl>
    <w:p>
      <w:pPr>
        <w:pStyle w:val="Heading3"/>
      </w:pPr>
      <w:r>
        <w:t>轻度站立不稳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COP轻度异常，或左右/前后负荷轻度偏移。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您站立时存在轻度重心波动或受力不均衡，提示站立控制能力需要关注。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建议加强平衡训练，例如扶墙单脚站、脚跟脚尖站立训练等。</w:t>
            </w:r>
          </w:p>
        </w:tc>
      </w:tr>
    </w:tbl>
    <w:p>
      <w:pPr>
        <w:pStyle w:val="Heading3"/>
      </w:pPr>
      <w:r>
        <w:t>站立稳定性不足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COP波动明显，四阶段平衡等级较低，或不能完成串联站立。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您的站立稳定性偏弱，提示身体重心控制能力下降，日常生活中需要注意防跌倒。尤其是在转身、起夜、上下楼梯或湿滑地面行走时，应更加小心。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建议进行平衡训练，并在必要时由家属陪同活动。若近期有跌倒史，应进一步做跌倒风险评估。</w:t>
            </w:r>
          </w:p>
        </w:tc>
      </w:tr>
    </w:tbl>
    <w:p>
      <w:pPr>
        <w:pStyle w:val="Heading3"/>
      </w:pPr>
      <w:r>
        <w:t>左右负荷明显不均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左右脚负荷差异明显。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您站立时左右脚受力不均衡，可能与习惯性偏重、单侧下肢力量不足、疼痛或关节活动受限有关。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建议结合步态结果和身体感受进一步判断。</w:t>
            </w:r>
          </w:p>
        </w:tc>
      </w:tr>
    </w:tbl>
    <w:p>
      <w:pPr>
        <w:pStyle w:val="Heading3"/>
      </w:pPr>
      <w:r>
        <w:t>前后负荷明显偏移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前掌或后跟压力明显偏高。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您站立时身体重心存在前后偏移，可能影响站立稳定性。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建议注意站姿调整，避免长时间身体前倾或后仰。</w:t>
            </w:r>
          </w:p>
        </w:tc>
      </w:tr>
    </w:tbl>
    <w:p>
      <w:pPr>
        <w:pStyle w:val="Heading1"/>
      </w:pPr>
      <w:r>
        <w:t>六、起坐模块结论</w:t>
      </w:r>
    </w:p>
    <w:p>
      <w:pPr>
        <w:pStyle w:val="Heading3"/>
      </w:pPr>
      <w:r>
        <w:t>起坐能力较好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5次起坐&lt;12秒，动作平稳，无明显代偿。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您的起坐能力表现较好，说明下肢力量和日常起身能力较好。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建议继续保持下肢力量训练。</w:t>
            </w:r>
          </w:p>
        </w:tc>
      </w:tr>
    </w:tbl>
    <w:p>
      <w:pPr>
        <w:pStyle w:val="Heading3"/>
      </w:pPr>
      <w:r>
        <w:t>起坐略慢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5次起坐接近或略超过12秒。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您的起坐速度略慢，提示下肢力量或动作协调能力需要关注。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建议增加坐站训练和大腿力量训练。</w:t>
            </w:r>
          </w:p>
        </w:tc>
      </w:tr>
    </w:tbl>
    <w:p>
      <w:pPr>
        <w:pStyle w:val="Heading3"/>
      </w:pPr>
      <w:r>
        <w:t>起坐明显偏慢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5次起坐≥12秒，尤其明显超过15秒。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您的起坐时间偏长，提示下肢力量和身体功能可能下降。起坐能力下降会影响日常起身、如厕、上下车等活动，也可能增加跌倒风险。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建议进行坐站训练、靠墙半蹲、踮脚训练等下肢力量训练。训练时应注意安全，可扶椅背或扶手进行。</w:t>
            </w:r>
          </w:p>
        </w:tc>
      </w:tr>
    </w:tbl>
    <w:p>
      <w:pPr>
        <w:pStyle w:val="Heading3"/>
      </w:pPr>
      <w:r>
        <w:t>起坐不稳定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起坐过程中晃动明显、左右发力不均、坐下冲击大。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您在起身或坐下过程中稳定性不足，提示下肢力量、平衡控制或动作协调需要加强。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建议训练时有人陪同，避免快速起身或突然坐下。</w:t>
            </w:r>
          </w:p>
        </w:tc>
      </w:tr>
    </w:tbl>
    <w:p>
      <w:pPr>
        <w:pStyle w:val="Heading3"/>
      </w:pPr>
      <w:r>
        <w:t>不能完成起坐测试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不能独立完成5次起坐，或需明显借助手臂/他人帮助。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老人版结论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本次起坐测试未能独立完成，提示下肢力量和功能活动能力需要重点关注。</w:t>
            </w:r>
          </w:p>
        </w:tc>
      </w:tr>
      <w:tr>
        <w:tc>
          <w:tcPr>
            <w:tcW w:type="dxa" w:w="5156"/>
            <w:vAlign w:val="center"/>
            <w:shd w:fill="D9EA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建议话术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建议尽快进行专业评估，并在日常起身、如厕、上下床时注意防跌倒。</w:t>
            </w:r>
          </w:p>
        </w:tc>
      </w:tr>
    </w:tbl>
    <w:p>
      <w:pPr>
        <w:pStyle w:val="Heading1"/>
      </w:pPr>
      <w:r>
        <w:t>七、常见组合结论文案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4E7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组合场景</w:t>
            </w:r>
          </w:p>
        </w:tc>
        <w:tc>
          <w:tcPr>
            <w:tcW w:type="dxa" w:w="5156"/>
            <w:vAlign w:val="center"/>
            <w:shd w:fill="1F4E7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老人版综合结论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握力低 + 起坐慢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本次评估提示，您的上肢握力和下肢起坐能力均有下降，说明肌肉力量储备不足，需要重点关注肌少症相关风险。建议加强营养支持和规律抗阻训练，并进行进一步评估。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步速慢 + 站立不稳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本次评估提示，您的行走速度偏慢，同时站立稳定性不足，说明日常行动安全需要重点关注。建议加强平衡训练和下肢力量训练，近期应注意防跌倒。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握力正常 + 起坐慢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您的握力表现尚可，但起坐能力偏弱，提示下肢力量或下肢功能可能是主要短板。建议重点进行坐站训练、大腿力量训练和平衡训练。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握力低 + 步速正常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您的行走能力暂时尚可，但握力偏低，提示肌肉力量储备可能不足。建议尽早进行力量训练和营养干预，避免后续出现行动能力下降。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步速慢 + 起坐慢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本次评估提示，您的步行速度和起坐能力均偏弱，说明下肢功能下降较明显。建议重点关注下肢力量、平衡能力和日常行动安全。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四项均较好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本次评估显示，您的握力、步态、站立稳定性和起坐能力整体表现较好。建议继续保持规律锻炼和健康生活方式，定期复测即可。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多项明显异常</w:t>
            </w:r>
          </w:p>
        </w:tc>
        <w:tc>
          <w:tcPr>
            <w:tcW w:type="dxa" w:w="515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本次评估提示，您的多项身体功能存在下降，需要重点关注。建议尽快进行老年综合评估、肌少症筛查和跌倒风险评估，并在专业人员指导下制定训练和干预方案。</w:t>
            </w:r>
          </w:p>
        </w:tc>
      </w:tr>
    </w:tbl>
    <w:p>
      <w:pPr>
        <w:pStyle w:val="Heading1"/>
      </w:pPr>
      <w:r>
        <w:t>八、报告固定免责声明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本报告用于社区/居家老人身体功能初筛和健康管理提示，不作为疾病诊断依据。评估结果需结合年龄、性别、身高体重、慢性病、用药情况、近期跌倒史、疼痛情况和专业人员判断综合解释。如出现明显乏力、走路不稳、近期跌倒、体重下降或日常活动受限，建议及时咨询医生或康复专业人员。</w:t>
            </w:r>
          </w:p>
        </w:tc>
      </w:tr>
    </w:tbl>
    <w:p>
      <w:pPr>
        <w:pStyle w:val="Heading1"/>
      </w:pPr>
      <w:r>
        <w:t>九、主要依据来源</w:t>
      </w:r>
    </w:p>
    <w:p>
      <w:pPr>
        <w:ind w:left="170"/>
      </w:pPr>
      <w:r>
        <w:t xml:space="preserve">1. Chen LK et al. Asian Working Group for Sarcopenia: 2019 Consensus Update on Sarcopenia Diagnosis and Treatment. JAMDA, 2020. </w:t>
      </w:r>
      <w:hyperlink r:id="rId9">
        <w:r>
          <w:rPr>
            <w:color w:val="0563C1"/>
            <w:u w:val="single"/>
          </w:rPr>
          <w:t>https://pubmed.ncbi.nlm.nih.gov/32033882/</w:t>
        </w:r>
      </w:hyperlink>
    </w:p>
    <w:p>
      <w:pPr>
        <w:ind w:left="170"/>
      </w:pPr>
      <w:r>
        <w:t xml:space="preserve">2. Cruz-Jentoft AJ et al. Sarcopenia: revised European consensus on definition and diagnosis (EWGSOP2). Age and Ageing, 2019. </w:t>
      </w:r>
      <w:hyperlink r:id="rId10">
        <w:r>
          <w:rPr>
            <w:color w:val="0563C1"/>
            <w:u w:val="single"/>
          </w:rPr>
          <w:t>https://pmc.ncbi.nlm.nih.gov/articles/PMC6322506/</w:t>
        </w:r>
      </w:hyperlink>
    </w:p>
    <w:p>
      <w:pPr>
        <w:ind w:left="170"/>
      </w:pPr>
      <w:r>
        <w:t xml:space="preserve">3. CDC STEADI. Assessment: The 4-Stage Balance Test. </w:t>
      </w:r>
      <w:hyperlink r:id="rId11">
        <w:r>
          <w:rPr>
            <w:color w:val="0563C1"/>
            <w:u w:val="single"/>
          </w:rPr>
          <w:t>https://www.cdc.gov/steadi/media/pdfs/STEADI-Assessment-4Stage-508.pdf</w:t>
        </w:r>
      </w:hyperlink>
    </w:p>
    <w:p>
      <w:pPr>
        <w:ind w:left="170"/>
      </w:pPr>
      <w:r>
        <w:t xml:space="preserve">4. Short Physical Performance Battery (SPPB) protocol and score sheet. </w:t>
      </w:r>
      <w:hyperlink r:id="rId12">
        <w:r>
          <w:rPr>
            <w:color w:val="0563C1"/>
            <w:u w:val="single"/>
          </w:rPr>
          <w:t>https://geriatrictoolkit.missouri.edu/SPPB-Score-Tool.pdf</w:t>
        </w:r>
      </w:hyperlink>
    </w:p>
    <w:p>
      <w:pPr>
        <w:ind w:left="170"/>
      </w:pPr>
      <w:r>
        <w:t xml:space="preserve">5. Singapore Clinical Practice Guideline on Sarcopenia, 2022. </w:t>
      </w:r>
      <w:hyperlink r:id="rId13">
        <w:r>
          <w:rPr>
            <w:color w:val="0563C1"/>
            <w:u w:val="single"/>
          </w:rPr>
          <w:t>https://www.ams.edu.sg/view-pdf.aspx?file=media%5C6713_fi_634.pdf&amp;ofile=%5BFinal%5D+Clinical+Practice+Guideline+on+Sarcopenia_20+Oct+2022.pdf</w:t>
        </w:r>
      </w:hyperlink>
    </w:p>
    <w:sectPr w:rsidR="00FC693F" w:rsidRPr="0006063C" w:rsidSect="00034616">
      <w:footerReference w:type="default" r:id="rId14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88888"/>
        <w:sz w:val="16"/>
      </w:rPr>
      <w:t>老年人四项功能评估 AI老人版结论文案库 V1.0｜仅用于健康初筛与产品沟通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2033882/" TargetMode="External"/><Relationship Id="rId10" Type="http://schemas.openxmlformats.org/officeDocument/2006/relationships/hyperlink" Target="https://pmc.ncbi.nlm.nih.gov/articles/PMC6322506/" TargetMode="External"/><Relationship Id="rId11" Type="http://schemas.openxmlformats.org/officeDocument/2006/relationships/hyperlink" Target="https://www.cdc.gov/steadi/media/pdfs/STEADI-Assessment-4Stage-508.pdf" TargetMode="External"/><Relationship Id="rId12" Type="http://schemas.openxmlformats.org/officeDocument/2006/relationships/hyperlink" Target="https://geriatrictoolkit.missouri.edu/SPPB-Score-Tool.pdf" TargetMode="External"/><Relationship Id="rId13" Type="http://schemas.openxmlformats.org/officeDocument/2006/relationships/hyperlink" Target="https://www.ams.edu.sg/view-pdf.aspx?file=media%5C6713_fi_634.pdf&amp;ofile=%5BFinal%5D+Clinical+Practice+Guideline+on+Sarcopenia_20+Oct+2022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