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具体功能及注意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乘客端：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登录页发送验证码</w:t>
      </w:r>
      <w:r>
        <w:rPr>
          <w:rFonts w:hint="eastAsia"/>
          <w:lang w:val="en-US" w:eastAsia="zh-CN"/>
        </w:rPr>
        <w:t>，防止恶意消耗短信服务：三挡登录限制规则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一档限制：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限制规则：1小时内非连续相同验证码错误达3次后限制10分钟后登录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注意：从第一次点击登录开始计时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对应toast提示：“您登录失败的次数过多,请 10 分钟后再重试”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二档限制：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限制规则：1小时内非连续相同验证码错误达5次后限制24小时后登录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注意：从第一次点击登录开始计时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对应toast提示：“您今天登录失败的次数过多,请 24 小时后再重试”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特殊情况（同一错误验证码限制规则）：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限制规则：1分钟内连续相同验证码错误达3次后限制1分钟后登录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注意：从第一次点击登录开始计时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对应toast提示：“您同一个错误验证码点击登录的次数过多,请 1 分钟后再重试”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从技术层面规避各种风险。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买的是三方短信服务，防止无限制发短信，短信轰炸，买的乌云公司三级等保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查看开通区域</w:t>
      </w:r>
      <w:r>
        <w:rPr>
          <w:rFonts w:hint="eastAsia"/>
          <w:lang w:val="en-US" w:eastAsia="zh-CN"/>
        </w:rPr>
        <w:t>，当时是部分试点运营，买的高德的地理围栏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预估价格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支付（分布式事务：订单，支付，积分）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评价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司机端：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登录注册，发送验证码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查看，改变司机状态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司机抢单（分布式锁）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订单状态变更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发起收款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BOSS端：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服务拆分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业务层</w:t>
      </w:r>
    </w:p>
    <w:tbl>
      <w:tblPr>
        <w:tblStyle w:val="9"/>
        <w:tblW w:w="9884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6907"/>
        <w:gridCol w:w="1488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48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69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项目名</w:t>
            </w:r>
          </w:p>
        </w:tc>
        <w:tc>
          <w:tcPr>
            <w:tcW w:w="148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乘客端</w:t>
            </w:r>
          </w:p>
        </w:tc>
        <w:tc>
          <w:tcPr>
            <w:tcW w:w="69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api-passenger(订单bean。@RequestBody 订单的bean)</w:t>
            </w:r>
          </w:p>
        </w:tc>
        <w:tc>
          <w:tcPr>
            <w:tcW w:w="148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乘客端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司机端</w:t>
            </w:r>
          </w:p>
        </w:tc>
        <w:tc>
          <w:tcPr>
            <w:tcW w:w="69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api-driver</w:t>
            </w:r>
          </w:p>
        </w:tc>
        <w:tc>
          <w:tcPr>
            <w:tcW w:w="148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司机端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司机听单</w:t>
            </w:r>
          </w:p>
        </w:tc>
        <w:tc>
          <w:tcPr>
            <w:tcW w:w="69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api-listen-order</w:t>
            </w:r>
          </w:p>
        </w:tc>
        <w:tc>
          <w:tcPr>
            <w:tcW w:w="148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司机听单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能力层</w:t>
      </w:r>
    </w:p>
    <w:tbl>
      <w:tblPr>
        <w:tblStyle w:val="9"/>
        <w:tblW w:w="9885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7650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项目名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app升级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service-app-update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service-order(订单bean。@RequestBody 订单的bean)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派单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service-order-dispatch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乘客用户管理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service-passenger-user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短信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service-sms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计价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service-valuation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验证码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service-verification-code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钱包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service-wallet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service-payment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地图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service-map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二方库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Internal-common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注册中心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cloud-eureka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配置中心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Cloud-config-server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网关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Cloud-zuul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熔断监控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cloud-hystrix-dashboard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健康检查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Cloud-admin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链路追踪</w:t>
            </w:r>
          </w:p>
        </w:tc>
        <w:tc>
          <w:tcPr>
            <w:tcW w:w="7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Cloud-zipkin-ui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Eureka：服务注册与发现，用于服务管理。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Feign： web调用客户端，能够简化HTTP接口的调用。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Ribbon：基于客户端的负载均衡。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Hystrix：熔断降级，防止服务雪崩。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Zuul：网关路由，提供路由转发、请求过滤、限流降级等功能。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Config：配置中心，分布式配置管理。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Sleuth：服务链路追踪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lang w:val="en-US" w:eastAsia="zh-CN"/>
        </w:rPr>
        <w:t>Admin：健康管理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第三方技术：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短信服务（腾讯，阿里短信，华信），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语音服务：隐私号。（乘客和司机订单匹配后，A，B，X），录音。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文件服务oss：阿里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地图：高德。100万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消息推送：极光。透传，通知。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支付：微信，支付宝。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航旅纵横：查航班。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发票：百望云。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前端：vue。android，ios。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Service-verification-code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EC0AB"/>
    <w:multiLevelType w:val="singleLevel"/>
    <w:tmpl w:val="4B9EC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B7216"/>
    <w:rsid w:val="5AA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PEX</dc:creator>
  <cp:lastModifiedBy>PEX</cp:lastModifiedBy>
  <dcterms:modified xsi:type="dcterms:W3CDTF">2021-11-05T09:07:41Z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