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5"/>
      </w:pPr>
      <w:r>
        <w:t xml:space="preserve">UNIVERSIDAD POLITÉCNICA DE BAJA CALIFORNIA</w:t>
      </w:r>
    </w:p>
    <w:p>
      <w:pPr>
        <w:pStyle w:val="Title"/>
        <w:spacing w:after="125"/>
      </w:pPr>
      <w:r>
        <w:t xml:space="preserve">Ejercicio Práctico de Estimación 2: Sistema de Monitoreo IoT para Agricultura de Precisión</w:t>
      </w:r>
    </w:p>
    <w:p>
      <w:pPr>
        <w:pStyle w:val="Normal"/>
        <w:spacing w:after="95"/>
      </w:pPr>
      <w:r>
        <w:rPr>
          <w:b/>
        </w:rPr>
        <w:t xml:space="preserve">Alumno:</w:t>
      </w:r>
      <w:r>
        <w:t xml:space="preserve"> Peyman Miandashti </w:t>
      </w:r>
      <w:r>
        <w:rPr>
          <w:b/>
        </w:rPr>
        <w:t xml:space="preserve">Docente:</w:t>
      </w:r>
      <w:r>
        <w:t xml:space="preserve"> Héctor Alonso Noriega García </w:t>
      </w:r>
      <w:r>
        <w:rPr>
          <w:b/>
        </w:rPr>
        <w:t xml:space="preserve">Carrera:</w:t>
      </w:r>
      <w:r>
        <w:t xml:space="preserve"> Ingeniería en Tecnologías de la Información e Innovación Digital </w:t>
      </w:r>
      <w:r>
        <w:rPr>
          <w:b/>
        </w:rPr>
        <w:t xml:space="preserve">Grupo / ciclo:</w:t>
      </w:r>
      <w:r>
        <w:t xml:space="preserve"> ITID 5AFM · 2026-3 </w:t>
      </w:r>
      <w:r>
        <w:rPr>
          <w:b/>
        </w:rPr>
        <w:t xml:space="preserve">Fecha de elaboración:</w:t>
      </w:r>
      <w:r>
        <w:t xml:space="preserve"> 22 de octubre de 2026 </w:t>
      </w:r>
      <w:r>
        <w:rPr>
          <w:b/>
        </w:rPr>
        <w:t xml:space="preserve">Fecha de entrega:</w:t>
      </w:r>
      <w:r>
        <w:t xml:space="preserve"> 24 de octubre de 2026, 11:59 p. m. </w:t>
      </w:r>
      <w:r>
        <w:rPr>
          <w:b/>
        </w:rPr>
        <w:t xml:space="preserve">Modelo aplicado:</w:t>
      </w:r>
      <w:r>
        <w:t xml:space="preserve"> COCOMO II.2000, Post-Architecture</w:t>
      </w:r>
    </w:p>
    <w:p>
      <w:pPr>
        <w:pStyle w:val="Heading1"/>
        <w:spacing w:after="125"/>
      </w:pPr>
      <w:r>
        <w:t xml:space="preserve">1. Resumen ejecutivo</w:t>
      </w:r>
    </w:p>
    <w:p>
      <w:pPr>
        <w:pStyle w:val="Normal"/>
        <w:spacing w:after="95"/>
      </w:pPr>
      <w:r>
        <w:t xml:space="preserve">Se analiza la estimación de un sistema de monitoreo IoT para agricultura de precisión. La startup necesita una plataforma en la nube para recolectar, procesar y analizar en tiempo real datos de sensores instalados en cultivos. La solución utilizará servicios backend en Python y un panel web desarrollado en React. El tamaño estimado es </w:t>
      </w:r>
      <w:r>
        <w:rPr>
          <w:b/>
        </w:rPr>
        <w:t xml:space="preserve">35 KSLOC = 35,000 líneas de código fuente</w:t>
      </w:r>
      <w:r>
        <w:t xml:space="preserve">. Se comparan el escenario base y una propuesta de capacitación y arquitectura que modifica exactamente dos parámetros: </w:t>
      </w:r>
      <w:r>
        <w:rPr>
          <w:b/>
        </w:rPr>
        <w:t xml:space="preserve">PEXP/PLEX Low → High</w:t>
      </w:r>
      <w:r>
        <w:t xml:space="preserve"> y </w:t>
      </w:r>
      <w:r>
        <w:rPr>
          <w:b/>
        </w:rPr>
        <w:t xml:space="preserve">RESL Low → High</w:t>
      </w:r>
      <w:r>
        <w:t xml:space="preserve">.</w:t>
      </w:r>
    </w:p>
    <w:tbl>
      <w:tblPr>
        <w:tblW w:w="5000" w:type="pct"/>
        <w:tblBorders>
          <w:bottom w:val="single" w:sz="4" w:color="92AFC8"/>
          <w:insideH w:val="single" w:sz="2" w:color="C3D3E0"/>
        </w:tblBorders>
      </w:tblPr>
      <w:tr>
        <w:trPr>
          <w:tblHeader w:val="true"/>
        </w:trPr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Indicador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Escenario base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Escenario mejorado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Esfuerzo total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245.70 PM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185.56 PM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Tiempo de desarrollo (TDEV)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22.37 meses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19.81 meses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Equipo promedio (FTE)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10.98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9.37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Equipo a tiempo completo, redondeado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11 personas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10 personas</w:t>
            </w:r>
          </w:p>
        </w:tc>
      </w:tr>
    </w:tbl>
    <w:p>
      <w:pPr>
        <w:pStyle w:val="Normal"/>
        <w:spacing w:after="95"/>
      </w:pPr>
      <w:r>
        <w:t xml:space="preserve">El escenario mejorado representa </w:t>
      </w:r>
      <w:r>
        <w:rPr>
          <w:b/>
        </w:rPr>
        <w:t xml:space="preserve">60.14 personas-mes de ahorro (24.48%)</w:t>
      </w:r>
      <w:r>
        <w:t xml:space="preserve"> y una reducción del cronograma de </w:t>
      </w:r>
      <w:r>
        <w:rPr>
          <w:b/>
        </w:rPr>
        <w:t xml:space="preserve">2.56 meses (11.45%)</w:t>
      </w:r>
      <w:r>
        <w:t xml:space="preserve">. Son resultados matemáticos con los coeficientes estándar de COCOMO II.2000, no lecturas afirmadas de una sesión web.</w:t>
      </w:r>
    </w:p>
    <w:p>
      <w:pPr>
        <w:pStyle w:val="Heading1"/>
        <w:spacing w:after="125"/>
      </w:pPr>
      <w:r>
        <w:t xml:space="preserve">2. Objetivo, alcance y supuestos</w:t>
      </w:r>
    </w:p>
    <w:p>
      <w:pPr>
        <w:pStyle w:val="Normal"/>
        <w:spacing w:after="95"/>
      </w:pPr>
      <w:r>
        <w:rPr>
          <w:b/>
        </w:rPr>
        <w:t xml:space="preserve">Objetivo:</w:t>
      </w:r>
      <w:r>
        <w:t xml:space="preserve"> configurar COCOMO II con los parámetros entregados por el docente; obtener esfuerzo en PM, tiempo en meses y personal promedio; evaluar las mejoras PEXP y RESL; justificar un posible beneficio económico.</w:t>
      </w:r>
    </w:p>
    <w:p>
      <w:pPr>
        <w:pStyle w:val="Normal"/>
        <w:spacing w:after="95"/>
      </w:pPr>
      <w:r>
        <w:rPr>
          <w:b/>
        </w:rPr>
        <w:t xml:space="preserve">Alcance técnico:</w:t>
      </w:r>
      <w:r>
        <w:t xml:space="preserve"> capturar telemetría IoT, procesamiento de eventos con restricciones de tiempo real, comunicación intermitente en campo, almacenamiento, analítica y visualización en React. Estos detalles contextualizan los factores TIME, PVOL y RESL, pero el ejercicio es de estimación, no de implementación de una aplicación.</w:t>
      </w:r>
    </w:p>
    <w:p>
      <w:pPr>
        <w:pStyle w:val="Normal"/>
        <w:spacing w:after="95"/>
      </w:pPr>
      <w:r>
        <w:rPr>
          <w:b/>
        </w:rPr>
        <w:t xml:space="preserve">Supuestos declarados:</w:t>
      </w:r>
      <w:r>
        <w:t xml:space="preserve"> se consideran nuevas las 35 KSLOC; no se entregaron líneas reutilizadas o modificadas; los 12 controladores de esfuerzo no destacados mantienen valor Nominal = 1.00, como también STOR, TOOL y SCED. No se proporcionó ninguna tarifa laboral ni un presupuesto de capacitación o arquitecto.</w:t>
      </w:r>
    </w:p>
    <w:p>
      <w:pPr>
        <w:pStyle w:val="Heading1"/>
        <w:spacing w:after="125"/>
      </w:pPr>
      <w:r>
        <w:t xml:space="preserve">3. Datos exactos para configurar la calculadora</w:t>
      </w:r>
    </w:p>
    <w:tbl>
      <w:tblPr>
        <w:tblW w:w="5000" w:type="pct"/>
        <w:tblBorders>
          <w:bottom w:val="single" w:sz="4" w:color="92AFC8"/>
          <w:insideH w:val="single" w:sz="2" w:color="C3D3E0"/>
        </w:tblBorders>
      </w:tblPr>
      <w:tr>
        <w:trPr>
          <w:tblHeader w:val="true"/>
        </w:trPr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Campo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Valor introducido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Sizing Method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Source Lines of Code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New SLOC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35000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Reused SLOC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Modified SLOC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Maintenance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Off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Cost per Person-Month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Sin dato; dejar vacío</w:t>
            </w:r>
          </w:p>
        </w:tc>
      </w:tr>
    </w:tbl>
    <w:p>
      <w:pPr>
        <w:pStyle w:val="Normal"/>
        <w:spacing w:after="95"/>
      </w:pPr>
      <w:r>
        <w:t xml:space="preserve">La conversión es </w:t>
      </w:r>
      <w:r>
        <w:rPr>
          <w:b/>
        </w:rPr>
        <w:t xml:space="preserve">35 KSLOC × 1,000 = 35,000 SLOC</w:t>
      </w:r>
      <w:r>
        <w:t xml:space="preserve">. No deben escribirse 35 ni 35,000 en una casilla que ya use KSLOC; en el sitio mostrado en la tarea la casilla es </w:t>
      </w:r>
      <w:r>
        <w:rPr>
          <w:b/>
        </w:rPr>
        <w:t xml:space="preserve">SLOC</w:t>
      </w:r>
      <w:r>
        <w:t xml:space="preserve">.</w:t>
      </w:r>
    </w:p>
    <w:p>
      <w:pPr>
        <w:pStyle w:val="Heading1"/>
        <w:spacing w:after="125"/>
      </w:pPr>
      <w:r>
        <w:t xml:space="preserve">4. Scale Factors (factores de escala)</w:t>
      </w:r>
    </w:p>
    <w:tbl>
      <w:tblPr>
        <w:tblW w:w="5000" w:type="pct"/>
        <w:tblBorders>
          <w:bottom w:val="single" w:sz="4" w:color="92AFC8"/>
          <w:insideH w:val="single" w:sz="2" w:color="C3D3E0"/>
        </w:tblBorders>
      </w:tblPr>
      <w:tr>
        <w:trPr>
          <w:tblHeader w:val="true"/>
        </w:trPr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Factor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Escenario base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Puntos base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Escenario mejorado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Puntos mejora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PREC — Precedentedness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4.96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4.96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FLEX — Development Flexibility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4.05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4.05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RESL — Architecture / Risk Resolution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Low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5.65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High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2.83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TEAM — Team Cohesion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Nominal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3.29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Nominal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3.29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PMAT — Process Maturity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6.24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6.24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Total ΣSF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24.19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21.37</w:t>
            </w:r>
          </w:p>
        </w:tc>
      </w:tr>
    </w:tbl>
    <w:p>
      <w:pPr>
        <w:pStyle w:val="Normal"/>
        <w:spacing w:after="95"/>
      </w:pPr>
      <w:r>
        <w:rPr>
          <w:b/>
        </w:rPr>
        <w:t xml:space="preserve">PREC Low:</w:t>
      </w:r>
      <w:r>
        <w:t xml:space="preserve"> es la primera experiencia del equipo con protocolos IoT de comunicación masiva. </w:t>
      </w:r>
      <w:r>
        <w:rPr>
          <w:b/>
        </w:rPr>
        <w:t xml:space="preserve">FLEX Low:</w:t>
      </w:r>
      <w:r>
        <w:t xml:space="preserve"> las normas de comunicación y las regulaciones hacen poco flexible el desarrollo. </w:t>
      </w:r>
      <w:r>
        <w:rPr>
          <w:b/>
        </w:rPr>
        <w:t xml:space="preserve">RESL Low:</w:t>
      </w:r>
      <w:r>
        <w:t xml:space="preserve"> inicialmente existen riesgos no resueltos sobre conectividad intermitente y comportamiento de sensores. </w:t>
      </w:r>
      <w:r>
        <w:rPr>
          <w:b/>
        </w:rPr>
        <w:t xml:space="preserve">TEAM Nominal:</w:t>
      </w:r>
      <w:r>
        <w:t xml:space="preserve"> los integrantes son nuevos y la coordinación es estándar. </w:t>
      </w:r>
      <w:r>
        <w:rPr>
          <w:b/>
        </w:rPr>
        <w:t xml:space="preserve">PMAT Low:</w:t>
      </w:r>
      <w:r>
        <w:t xml:space="preserve"> la startup está desarrollando sus procedimientos de trabajo.</w:t>
      </w:r>
    </w:p>
    <w:p>
      <w:pPr>
        <w:pStyle w:val="Normal"/>
        <w:spacing w:after="95"/>
      </w:pPr>
      <w:r>
        <w:t xml:space="preserve">Con la contratación de un arquitecto experto se asume que se realizan decisiones y validaciones concretas que permiten calificar </w:t>
      </w:r>
      <w:r>
        <w:rPr>
          <w:b/>
        </w:rPr>
        <w:t xml:space="preserve">RESL High</w:t>
      </w:r>
      <w:r>
        <w:t xml:space="preserve">, por ejemplo arquitectura tolerante a desconexiones, protocolos de reintento, almacenamiento temporal, trazabilidad y pruebas con sensores reales. No se cambia ningún otro Scale Factor.</w:t>
      </w:r>
    </w:p>
    <w:p>
      <w:pPr>
        <w:pStyle w:val="Heading1"/>
        <w:spacing w:after="125"/>
      </w:pPr>
      <w:r>
        <w:t xml:space="preserve">5. Cost Drivers (multiplicadores de esfuerzo)</w:t>
      </w:r>
    </w:p>
    <w:p>
      <w:pPr>
        <w:pStyle w:val="Normal"/>
        <w:spacing w:after="95"/>
      </w:pPr>
      <w:r>
        <w:t xml:space="preserve">Los cinco controladores señalados en el enunciado se introducen tal como aparecen abajo; el resto queda en Nominal. En el manual COCOMO II.2000, </w:t>
      </w:r>
      <w:r>
        <w:rPr>
          <w:b/>
        </w:rPr>
        <w:t xml:space="preserve">Platform Experience se abrevia PLEX (antes PEXP)</w:t>
      </w:r>
      <w:r>
        <w:t xml:space="preserve">; el formulario web muestra </w:t>
      </w:r>
      <w:r>
        <w:rPr>
          <w:b/>
        </w:rPr>
        <w:t xml:space="preserve">Platform Experience</w:t>
      </w:r>
      <w:r>
        <w:t xml:space="preserve">.</w:t>
      </w:r>
    </w:p>
    <w:tbl>
      <w:tblPr>
        <w:tblW w:w="5000" w:type="pct"/>
        <w:tblBorders>
          <w:bottom w:val="single" w:sz="4" w:color="92AFC8"/>
          <w:insideH w:val="single" w:sz="2" w:color="C3D3E0"/>
        </w:tblBorders>
      </w:tblPr>
      <w:tr>
        <w:trPr>
          <w:tblHeader w:val="true"/>
        </w:trPr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Cost Driver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Base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EM base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Mejora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EM mejora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TIME — Time Constraint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1.11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1.11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STOR — Storage Constraint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Nominal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1.00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Nominal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1.00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PVOL — Platform Volatility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1.15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1.15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PEXP/PLEX — Platform Experience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Low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1.09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High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0.91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TOOL — Use of Software Tools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Nominal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1.00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Nominal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1.00</w:t>
            </w:r>
          </w:p>
        </w:tc>
      </w:tr>
    </w:tbl>
    <w:p>
      <w:pPr>
        <w:pStyle w:val="Normal"/>
        <w:spacing w:after="95"/>
      </w:pPr>
      <w:r>
        <w:rPr>
          <w:b/>
        </w:rPr>
        <w:t xml:space="preserve">Otros 12 cost drivers en Nominal (1.00):</w:t>
      </w:r>
      <w:r>
        <w:t xml:space="preserve"> RELY, DATA, CPLX, RUSE, DOCU, ACAP, PCAP, PCON, APEX, LTEX, SITE y SCED. El enunciado no autoriza cambiar estas categorías en el escenario mejorado.</w:t>
      </w:r>
    </w:p>
    <w:p>
      <w:pPr>
        <w:pStyle w:val="Normal"/>
        <w:spacing w:after="95"/>
      </w:pPr>
      <w:r>
        <w:rPr>
          <w:b/>
        </w:rPr>
        <w:t xml:space="preserve">Producto de multiplicadores (EAF) base:</w:t>
      </w:r>
      <w:r>
        <w:t xml:space="preserve"> 1.11 × 1.00 × 1.15 × 1.09 × 1.00 = </w:t>
      </w:r>
      <w:r>
        <w:rPr>
          <w:b/>
        </w:rPr>
        <w:t xml:space="preserve">1.391385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Producto de multiplicadores (EAF) mejorado:</w:t>
      </w:r>
      <w:r>
        <w:t xml:space="preserve"> 1.11 × 1.00 × 1.15 × 0.91 × 1.00 = </w:t>
      </w:r>
      <w:r>
        <w:rPr>
          <w:b/>
        </w:rPr>
        <w:t xml:space="preserve">1.161615</w:t>
      </w:r>
      <w:r>
        <w:t xml:space="preserve">.</w:t>
      </w:r>
    </w:p>
    <w:p>
      <w:pPr>
        <w:pStyle w:val="Heading1"/>
        <w:spacing w:after="125"/>
      </w:pPr>
      <w:r>
        <w:t xml:space="preserve">6. Fórmulas COCOMO II.2000 (Post-Architecture)</w:t>
      </w:r>
    </w:p>
    <w:p>
      <w:pPr>
        <w:pStyle w:val="Normal"/>
        <w:spacing w:after="95"/>
      </w:pPr>
      <w:r>
        <w:rPr>
          <w:b/>
        </w:rPr>
        <w:t xml:space="preserve">E = 0.91 + (0.01 × ΣSF)</w:t>
      </w:r>
      <w:r>
        <w:t xml:space="preserve"> es el exponente de esfuerzo.</w:t>
      </w:r>
    </w:p>
    <w:p>
      <w:pPr>
        <w:pStyle w:val="Normal"/>
        <w:spacing w:after="95"/>
      </w:pPr>
      <w:r>
        <w:rPr>
          <w:b/>
        </w:rPr>
        <w:t xml:space="preserve">PM = 2.94 × KSLOC^E × Π(EM)</w:t>
      </w:r>
      <w:r>
        <w:t xml:space="preserve"> calcula el esfuerzo en personas-mes.</w:t>
      </w:r>
    </w:p>
    <w:p>
      <w:pPr>
        <w:pStyle w:val="Normal"/>
        <w:spacing w:after="95"/>
      </w:pPr>
      <w:r>
        <w:rPr>
          <w:b/>
        </w:rPr>
        <w:t xml:space="preserve">F = 0.28 + 0.20 × (E − 0.91)</w:t>
      </w:r>
      <w:r>
        <w:t xml:space="preserve"> es el exponente del cronograma.</w:t>
      </w:r>
    </w:p>
    <w:p>
      <w:pPr>
        <w:pStyle w:val="Normal"/>
        <w:spacing w:after="95"/>
      </w:pPr>
      <w:r>
        <w:rPr>
          <w:b/>
        </w:rPr>
        <w:t xml:space="preserve">TDEV = 3.67 × PM^F</w:t>
      </w:r>
      <w:r>
        <w:t xml:space="preserve"> expresa el tiempo estimado en meses para </w:t>
      </w:r>
      <w:r>
        <w:rPr>
          <w:b/>
        </w:rPr>
        <w:t xml:space="preserve">SCED Nominal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Equipo promedio (FTE) = PM / TDEV</w:t>
      </w:r>
      <w:r>
        <w:t xml:space="preserve">. Para una plantilla orientativa de personas completas se redondea hacia arriba; el resultado no exige mantener el mismo personal durante todas las fases.</w:t>
      </w:r>
    </w:p>
    <w:p>
      <w:pPr>
        <w:pStyle w:val="Normal"/>
        <w:spacing w:after="95"/>
      </w:pPr>
      <w:r>
        <w:t xml:space="preserve">Las constantes A = 2.94, B = 0.91, C = 3.67 y D = 0.28 corresponden a COCOMO II.2000. Se muestran cuatro a seis decimales en los pasos para evitar acumular errores; solo el resultado final se redondea a dos decimales.</w:t>
      </w:r>
    </w:p>
    <w:p>
      <w:pPr>
        <w:pStyle w:val="Heading1"/>
        <w:spacing w:after="125"/>
      </w:pPr>
      <w:r>
        <w:t xml:space="preserve">7. Desarrollo matemático: escenario base</w:t>
      </w:r>
    </w:p>
    <w:p>
      <w:pPr>
        <w:pStyle w:val="Normal"/>
        <w:spacing w:after="95"/>
      </w:pPr>
      <w:r>
        <w:rPr>
          <w:b/>
        </w:rPr>
        <w:t xml:space="preserve">Paso 1.</w:t>
      </w:r>
      <w:r>
        <w:t xml:space="preserve"> Suma de escala = 4.96 + 4.05 + 5.65 + 3.29 + 6.24 = </w:t>
      </w:r>
      <w:r>
        <w:rPr>
          <w:b/>
        </w:rPr>
        <w:t xml:space="preserve">24.19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2.</w:t>
      </w:r>
      <w:r>
        <w:t xml:space="preserve"> E = 0.91 + 0.01 × 24.19 = </w:t>
      </w:r>
      <w:r>
        <w:rPr>
          <w:b/>
        </w:rPr>
        <w:t xml:space="preserve">1.1519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3.</w:t>
      </w:r>
      <w:r>
        <w:t xml:space="preserve"> EAF = 1.11 × 1.15 × 1.09 = </w:t>
      </w:r>
      <w:r>
        <w:rPr>
          <w:b/>
        </w:rPr>
        <w:t xml:space="preserve">1.391385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4.</w:t>
      </w:r>
      <w:r>
        <w:t xml:space="preserve"> PM = 2.94 × 35^1.1519 × 1.391385 = </w:t>
      </w:r>
      <w:r>
        <w:rPr>
          <w:b/>
        </w:rPr>
        <w:t xml:space="preserve">245.70 PM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5.</w:t>
      </w:r>
      <w:r>
        <w:t xml:space="preserve"> F = 0.28 + 0.20 × (1.1519 − 0.91) = </w:t>
      </w:r>
      <w:r>
        <w:rPr>
          <w:b/>
        </w:rPr>
        <w:t xml:space="preserve">0.32838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6.</w:t>
      </w:r>
      <w:r>
        <w:t xml:space="preserve"> TDEV = 3.67 × (245.700832)^0.32838 = </w:t>
      </w:r>
      <w:r>
        <w:rPr>
          <w:b/>
        </w:rPr>
        <w:t xml:space="preserve">22.37 meses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7.</w:t>
      </w:r>
      <w:r>
        <w:t xml:space="preserve"> Equipo promedio = 245.700832 / 22.368033 = </w:t>
      </w:r>
      <w:r>
        <w:rPr>
          <w:b/>
        </w:rPr>
        <w:t xml:space="preserve">10.98 FTE</w:t>
      </w:r>
      <w:r>
        <w:t xml:space="preserve">. Redondeando hacia arriba, </w:t>
      </w:r>
      <w:r>
        <w:rPr>
          <w:b/>
        </w:rPr>
        <w:t xml:space="preserve">11 personas a tiempo completo</w:t>
      </w:r>
      <w:r>
        <w:t xml:space="preserve"> para fines de planificación.</w:t>
      </w:r>
    </w:p>
    <w:p>
      <w:pPr>
        <w:pStyle w:val="Heading1"/>
        <w:spacing w:after="125"/>
      </w:pPr>
      <w:r>
        <w:t xml:space="preserve">8. Propuesta de mejora: análisis de sensibilidad</w:t>
      </w:r>
    </w:p>
    <w:p>
      <w:pPr>
        <w:pStyle w:val="Normal"/>
        <w:spacing w:after="95"/>
      </w:pPr>
      <w:r>
        <w:t xml:space="preserve">La directiva propone dos actuaciones específicas: (1) capacitar al equipo para que su experiencia de plataforma mejore de </w:t>
      </w:r>
      <w:r>
        <w:rPr>
          <w:b/>
        </w:rPr>
        <w:t xml:space="preserve">PEXP/PLEX Low (1.09)</w:t>
      </w:r>
      <w:r>
        <w:t xml:space="preserve"> a </w:t>
      </w:r>
      <w:r>
        <w:rPr>
          <w:b/>
        </w:rPr>
        <w:t xml:space="preserve">High (0.91)</w:t>
      </w:r>
      <w:r>
        <w:t xml:space="preserve"> y (2) incorporar un arquitecto experto para identificar y mitigar incertidumbres, lo que cambia </w:t>
      </w:r>
      <w:r>
        <w:rPr>
          <w:b/>
        </w:rPr>
        <w:t xml:space="preserve">RESL Low (5.65)</w:t>
      </w:r>
      <w:r>
        <w:t xml:space="preserve"> a </w:t>
      </w:r>
      <w:r>
        <w:rPr>
          <w:b/>
        </w:rPr>
        <w:t xml:space="preserve">High (2.83)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1.</w:t>
      </w:r>
      <w:r>
        <w:t xml:space="preserve"> Nueva suma de escala = 4.96 + 4.05 + 2.83 + 3.29 + 6.24 = </w:t>
      </w:r>
      <w:r>
        <w:rPr>
          <w:b/>
        </w:rPr>
        <w:t xml:space="preserve">21.37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2.</w:t>
      </w:r>
      <w:r>
        <w:t xml:space="preserve"> E = 0.91 + 0.01 × 21.37 = </w:t>
      </w:r>
      <w:r>
        <w:rPr>
          <w:b/>
        </w:rPr>
        <w:t xml:space="preserve">1.1237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3.</w:t>
      </w:r>
      <w:r>
        <w:t xml:space="preserve"> EAF = 1.11 × 1.15 × 0.91 = </w:t>
      </w:r>
      <w:r>
        <w:rPr>
          <w:b/>
        </w:rPr>
        <w:t xml:space="preserve">1.161615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4.</w:t>
      </w:r>
      <w:r>
        <w:t xml:space="preserve"> PM = 2.94 × 35^1.1237 × 1.161615 = </w:t>
      </w:r>
      <w:r>
        <w:rPr>
          <w:b/>
        </w:rPr>
        <w:t xml:space="preserve">185.56 PM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5.</w:t>
      </w:r>
      <w:r>
        <w:t xml:space="preserve"> F = 0.28 + 0.20 × (1.1237 − 0.91) = </w:t>
      </w:r>
      <w:r>
        <w:rPr>
          <w:b/>
        </w:rPr>
        <w:t xml:space="preserve">0.32274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6.</w:t>
      </w:r>
      <w:r>
        <w:t xml:space="preserve"> TDEV = 3.67 × (185.557624)^0.32274 = </w:t>
      </w:r>
      <w:r>
        <w:rPr>
          <w:b/>
        </w:rPr>
        <w:t xml:space="preserve">19.81 meses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Paso 7.</w:t>
      </w:r>
      <w:r>
        <w:t xml:space="preserve"> Equipo promedio = 185.557624 / 19.805915 = </w:t>
      </w:r>
      <w:r>
        <w:rPr>
          <w:b/>
        </w:rPr>
        <w:t xml:space="preserve">9.37 FTE</w:t>
      </w:r>
      <w:r>
        <w:t xml:space="preserve">, es decir </w:t>
      </w:r>
      <w:r>
        <w:rPr>
          <w:b/>
        </w:rPr>
        <w:t xml:space="preserve">10 personas</w:t>
      </w:r>
      <w:r>
        <w:t xml:space="preserve"> al redondear hacia arriba.</w:t>
      </w:r>
    </w:p>
    <w:p>
      <w:pPr>
        <w:pStyle w:val="Heading1"/>
        <w:spacing w:after="125"/>
      </w:pPr>
      <w:r>
        <w:t xml:space="preserve">9. Tabla comparativa y preguntas respondidas</w:t>
      </w:r>
    </w:p>
    <w:tbl>
      <w:tblPr>
        <w:tblW w:w="5000" w:type="pct"/>
        <w:tblBorders>
          <w:bottom w:val="single" w:sz="4" w:color="92AFC8"/>
          <w:insideH w:val="single" w:sz="2" w:color="C3D3E0"/>
        </w:tblBorders>
      </w:tblPr>
      <w:tr>
        <w:trPr>
          <w:tblHeader w:val="true"/>
        </w:trPr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Medida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Escenario base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Escenario mejorado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Variación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ΣSF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24.19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21.37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−2.82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Exponente E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1.1519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1.1237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−0.0282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EAF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1.391385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1.161615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−0.229770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Esfuerzo (PM)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245.70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185.56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−60.14 PM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TDEV (meses)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22.37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19.81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−2.56 meses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Equipo promedio (FTE)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10.98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9.37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−1.62 FTE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Personas redondeadas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−1 persona</w:t>
            </w:r>
          </w:p>
        </w:tc>
      </w:tr>
    </w:tbl>
    <w:p>
      <w:pPr>
        <w:pStyle w:val="Normal"/>
        <w:spacing w:after="95"/>
      </w:pPr>
      <w:r>
        <w:rPr>
          <w:b/>
        </w:rPr>
        <w:t xml:space="preserve">Pregunta 1. ¿Cuántos meses/persona de esfuerzo se ahorran?</w:t>
      </w:r>
    </w:p>
    <w:p>
      <w:pPr>
        <w:pStyle w:val="Normal"/>
        <w:spacing w:after="95"/>
      </w:pPr>
      <w:r>
        <w:rPr>
          <w:b/>
        </w:rPr>
        <w:t xml:space="preserve">Respuesta:</w:t>
      </w:r>
      <w:r>
        <w:t xml:space="preserve"> 245.700832 − 185.557624 = </w:t>
      </w:r>
      <w:r>
        <w:rPr>
          <w:b/>
        </w:rPr>
        <w:t xml:space="preserve">60.143208 PM</w:t>
      </w:r>
      <w:r>
        <w:t xml:space="preserve">, que se presentan como </w:t>
      </w:r>
      <w:r>
        <w:rPr>
          <w:b/>
        </w:rPr>
        <w:t xml:space="preserve">60.14 personas-mes</w:t>
      </w:r>
      <w:r>
        <w:t xml:space="preserve">. El porcentaje de reducción es (60.143208 / 245.700832) × 100 = </w:t>
      </w:r>
      <w:r>
        <w:rPr>
          <w:b/>
        </w:rPr>
        <w:t xml:space="preserve">24.48%</w:t>
      </w:r>
      <w:r>
        <w:t xml:space="preserve">.</w:t>
      </w:r>
    </w:p>
    <w:p>
      <w:pPr>
        <w:pStyle w:val="Normal"/>
        <w:spacing w:after="95"/>
      </w:pPr>
      <w:r>
        <w:rPr>
          <w:b/>
        </w:rPr>
        <w:t xml:space="preserve">Pregunta 2. ¿Cómo cambia el tiempo total de entrega (TDEV)?</w:t>
      </w:r>
    </w:p>
    <w:p>
      <w:pPr>
        <w:pStyle w:val="Normal"/>
        <w:spacing w:after="95"/>
      </w:pPr>
      <w:r>
        <w:rPr>
          <w:b/>
        </w:rPr>
        <w:t xml:space="preserve">Respuesta:</w:t>
      </w:r>
      <w:r>
        <w:t xml:space="preserve"> el TDEV disminuye de </w:t>
      </w:r>
      <w:r>
        <w:rPr>
          <w:b/>
        </w:rPr>
        <w:t xml:space="preserve">22.37</w:t>
      </w:r>
      <w:r>
        <w:t xml:space="preserve"> a </w:t>
      </w:r>
      <w:r>
        <w:rPr>
          <w:b/>
        </w:rPr>
        <w:t xml:space="preserve">19.81 meses</w:t>
      </w:r>
      <w:r>
        <w:t xml:space="preserve">, una reducción de </w:t>
      </w:r>
      <w:r>
        <w:rPr>
          <w:b/>
        </w:rPr>
        <w:t xml:space="preserve">2.56 meses</w:t>
      </w:r>
      <w:r>
        <w:t xml:space="preserve">. La reducción porcentual es (2.562118 / 22.368033) × 100 = </w:t>
      </w:r>
      <w:r>
        <w:rPr>
          <w:b/>
        </w:rPr>
        <w:t xml:space="preserve">11.45%</w:t>
      </w:r>
      <w:r>
        <w:t xml:space="preserve">. El cronograma se acorta aunque no se cambia SCED, porque se reducen el esfuerzo previsto y el exponente temporal.</w:t>
      </w:r>
    </w:p>
    <w:p>
      <w:pPr>
        <w:pStyle w:val="Normal"/>
        <w:spacing w:after="95"/>
      </w:pPr>
      <w:r>
        <w:rPr>
          <w:b/>
        </w:rPr>
        <w:t xml:space="preserve">Pregunta 3. ¿Cuántas personas a tiempo completo se necesitan?</w:t>
      </w:r>
    </w:p>
    <w:p>
      <w:pPr>
        <w:pStyle w:val="Normal"/>
        <w:spacing w:after="95"/>
      </w:pPr>
      <w:r>
        <w:rPr>
          <w:b/>
        </w:rPr>
        <w:t xml:space="preserve">Respuesta:</w:t>
      </w:r>
      <w:r>
        <w:t xml:space="preserve"> el promedio estimado es </w:t>
      </w:r>
      <w:r>
        <w:rPr>
          <w:b/>
        </w:rPr>
        <w:t xml:space="preserve">10.98 FTE</w:t>
      </w:r>
      <w:r>
        <w:t xml:space="preserve"> en la situación base y </w:t>
      </w:r>
      <w:r>
        <w:rPr>
          <w:b/>
        </w:rPr>
        <w:t xml:space="preserve">9.37 FTE</w:t>
      </w:r>
      <w:r>
        <w:t xml:space="preserve"> en la mejorada. Para una recomendación de contratación, representan respectivamente </w:t>
      </w:r>
      <w:r>
        <w:rPr>
          <w:b/>
        </w:rPr>
        <w:t xml:space="preserve">11</w:t>
      </w:r>
      <w:r>
        <w:t xml:space="preserve"> y </w:t>
      </w:r>
      <w:r>
        <w:rPr>
          <w:b/>
        </w:rPr>
        <w:t xml:space="preserve">10</w:t>
      </w:r>
      <w:r>
        <w:t xml:space="preserve"> personas. La composición real depende de las fases, especialidades y dedicación del arquitecto.</w:t>
      </w:r>
    </w:p>
    <w:p>
      <w:pPr>
        <w:pStyle w:val="Heading1"/>
        <w:spacing w:after="125"/>
      </w:pPr>
      <w:r>
        <w:t xml:space="preserve">10. Análisis costo-beneficio: ¿la inversión se paga sola?</w:t>
      </w:r>
    </w:p>
    <w:p>
      <w:pPr>
        <w:pStyle w:val="Normal"/>
        <w:spacing w:after="95"/>
      </w:pPr>
      <w:r>
        <w:rPr>
          <w:b/>
        </w:rPr>
        <w:t xml:space="preserve">No puede afirmarse para el proyecto real sin conocer los costos.</w:t>
      </w:r>
      <w:r>
        <w:t xml:space="preserve"> La tarea no proporciona la tarifa media por persona-mes, el costo de capacitar al equipo, los honorarios del arquitecto ni cuánto tiempo de transición se necesitará. El ahorro de </w:t>
      </w:r>
      <w:r>
        <w:rPr>
          <w:b/>
        </w:rPr>
        <w:t xml:space="preserve">60.14 PM</w:t>
      </w:r>
      <w:r>
        <w:t xml:space="preserve"> permite calcular el punto de equilibrio.</w:t>
      </w:r>
    </w:p>
    <w:p>
      <w:pPr>
        <w:pStyle w:val="Normal"/>
        <w:spacing w:after="95"/>
      </w:pPr>
      <w:r>
        <w:rPr>
          <w:b/>
        </w:rPr>
        <w:t xml:space="preserve">Ahorro laboral bruto = 60.143208 × C</w:t>
      </w:r>
      <w:r>
        <w:t xml:space="preserve">, donde </w:t>
      </w:r>
      <w:r>
        <w:rPr>
          <w:b/>
        </w:rPr>
        <w:t xml:space="preserve">C</w:t>
      </w:r>
      <w:r>
        <w:t xml:space="preserve"> es el costo promedio por persona-mes. </w:t>
      </w:r>
      <w:r>
        <w:rPr>
          <w:b/>
        </w:rPr>
        <w:t xml:space="preserve">Beneficio neto = Ahorro laboral bruto − inversión incremental real.</w:t>
      </w:r>
      <w:r>
        <w:t xml:space="preserve"> </w:t>
      </w:r>
      <w:r>
        <w:rPr>
          <w:b/>
        </w:rPr>
        <w:t xml:space="preserve">Condición para recuperar la inversión: inversión incremental &lt; 60.143208 × C.</w:t>
      </w:r>
    </w:p>
    <w:p>
      <w:pPr>
        <w:pStyle w:val="Normal"/>
        <w:spacing w:after="95"/>
      </w:pPr>
      <w:r>
        <w:t xml:space="preserve">Para mostrar la aplicación práctica, se utiliza un </w:t>
      </w:r>
      <w:r>
        <w:rPr>
          <w:b/>
        </w:rPr>
        <w:t xml:space="preserve">ejemplo hipotético</w:t>
      </w:r>
      <w:r>
        <w:t xml:space="preserve">: </w:t>
      </w:r>
      <w:r>
        <w:rPr>
          <w:b/>
        </w:rPr>
        <w:t xml:space="preserve">C = $30,000 MXN por PM</w:t>
      </w:r>
      <w:r>
        <w:t xml:space="preserve"> e </w:t>
      </w:r>
      <w:r>
        <w:rPr>
          <w:b/>
        </w:rPr>
        <w:t xml:space="preserve">inversión extra de $250,000 MXN</w:t>
      </w:r>
      <w:r>
        <w:t xml:space="preserve"> en formación y arquitectura. No son precios dados por el docente ni cotizaciones.</w:t>
      </w:r>
    </w:p>
    <w:tbl>
      <w:tblPr>
        <w:tblW w:w="5000" w:type="pct"/>
        <w:tblBorders>
          <w:bottom w:val="single" w:sz="4" w:color="92AFC8"/>
          <w:insideH w:val="single" w:sz="2" w:color="C3D3E0"/>
        </w:tblBorders>
      </w:tblPr>
      <w:tr>
        <w:trPr>
          <w:tblHeader w:val="true"/>
        </w:trPr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Concepto ilustrativo</w:t>
            </w:r>
          </w:p>
        </w:tc>
        <w:tc>
          <w:tcPr>
            <w:tcW w:w="0" w:type="auto"/>
            <w:shd w:fill="D1E0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85780"/>
                <w:sz w:val="17"/>
              </w:rPr>
              <w:t>Monto (MXN)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Costo laboral base: 245.700832 × $30,000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$7,371,024.97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Costo laboral mejorado: 185.557624 × $30,000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$5,566,728.73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Ahorro laboral bruto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$1,804,296.25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Inversión adicional supuesta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$250,000.00</w:t>
            </w:r>
          </w:p>
        </w:tc>
      </w:tr>
      <w:tr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Beneficio neto hipotético</w:t>
            </w:r>
          </w:p>
        </w:tc>
        <w:tc>
          <w:tcPr>
            <w:tcW w:w="0" w:type="auto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$1,554,296.25</w:t>
            </w:r>
          </w:p>
        </w:tc>
      </w:tr>
      <w:tr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t xml:space="preserve">ROI simple: beneficio neto / inversión</w:t>
            </w:r>
          </w:p>
        </w:tc>
        <w:tc>
          <w:tcPr>
            <w:tcW w:w="0" w:type="auto"/>
            <w:shd w:fill="EEF3F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621.72%</w:t>
            </w:r>
          </w:p>
        </w:tc>
      </w:tr>
    </w:tbl>
    <w:p>
      <w:pPr>
        <w:pStyle w:val="Normal"/>
        <w:spacing w:after="95"/>
      </w:pPr>
      <w:r>
        <w:rPr>
          <w:b/>
        </w:rPr>
        <w:t xml:space="preserve">Pregunta 4. ¿La inversión en capacitación y arquitectura se paga sola?</w:t>
      </w:r>
    </w:p>
    <w:p>
      <w:pPr>
        <w:pStyle w:val="Normal"/>
        <w:spacing w:after="95"/>
      </w:pPr>
      <w:r>
        <w:rPr>
          <w:b/>
        </w:rPr>
        <w:t xml:space="preserve">Respuesta:</w:t>
      </w:r>
      <w:r>
        <w:t xml:space="preserve"> en este </w:t>
      </w:r>
      <w:r>
        <w:rPr>
          <w:b/>
        </w:rPr>
        <w:t xml:space="preserve">ejemplo ilustrativo, sí</w:t>
      </w:r>
      <w:r>
        <w:t xml:space="preserve">, porque los $250,000 de inversión estimada serían inferiores al ahorro bruto de $1,804,296.25. No se puede asegurar lo mismo para la startup sin un presupuesto verificable. Si su inversión y costos adicionales superan los ahorros, deja de ser rentable. Debe evitarse contar dos veces el tiempo del arquitecto si ya está incluido en el esfuerzo de desarrollo.</w:t>
      </w:r>
    </w:p>
    <w:p>
      <w:pPr>
        <w:pStyle w:val="Normal"/>
        <w:spacing w:after="95"/>
      </w:pPr>
      <w:r>
        <w:rPr>
          <w:b/>
        </w:rPr>
        <w:t xml:space="preserve">Pregunta 5. ¿Cuáles son las ventajas de la mejora más allá de los números?</w:t>
      </w:r>
    </w:p>
    <w:p>
      <w:pPr>
        <w:pStyle w:val="Normal"/>
        <w:spacing w:after="95"/>
      </w:pPr>
      <w:r>
        <w:rPr>
          <w:b/>
        </w:rPr>
        <w:t xml:space="preserve">Respuesta:</w:t>
      </w:r>
      <w:r>
        <w:t xml:space="preserve"> la experiencia y la arquitectura reducen retrabajo, defectos de comunicación, problemas de integración, riesgo por cobertura limitada, pérdida temporal de lecturas, costos de soporte y deuda técnica. No eliminan la exigencia de tiempo real (</w:t>
      </w:r>
      <w:r>
        <w:rPr>
          <w:b/>
        </w:rPr>
        <w:t xml:space="preserve">TIME High</w:t>
      </w:r>
      <w:r>
        <w:t xml:space="preserve">) ni los cambios frecuentes de APIs/sensores (</w:t>
      </w:r>
      <w:r>
        <w:rPr>
          <w:b/>
        </w:rPr>
        <w:t xml:space="preserve">PVOL High</w:t>
      </w:r>
      <w:r>
        <w:t xml:space="preserve">). Las mejoras son válidas solo si se consiguen las competencias y la mitigación de riesgos evaluadas por el modelo.</w:t>
      </w:r>
    </w:p>
    <w:p>
      <w:pPr>
        <w:pStyle w:val="Heading1"/>
        <w:spacing w:after="125"/>
      </w:pPr>
      <w:r>
        <w:t xml:space="preserve">11. Procedimiento exacto para reproducir en la calculadora web</w:t>
      </w:r>
    </w:p>
    <w:p>
      <w:pPr>
        <w:pStyle w:val="Normal"/>
        <w:spacing w:after="95"/>
      </w:pPr>
      <w:r>
        <w:t xml:space="preserve">1. Abrir </w:t>
      </w:r>
      <w:r>
        <w:rPr>
          <w:b/>
        </w:rPr>
        <w:t xml:space="preserve">https://softwarecost.org/tools/COCOMO/</w:t>
      </w:r>
      <w:r>
        <w:t xml:space="preserve">.</w:t>
      </w:r>
    </w:p>
    <w:p>
      <w:pPr>
        <w:pStyle w:val="Normal"/>
        <w:spacing w:after="95"/>
      </w:pPr>
      <w:r>
        <w:t xml:space="preserve">2. En </w:t>
      </w:r>
      <w:r>
        <w:rPr>
          <w:b/>
        </w:rPr>
        <w:t xml:space="preserve">Sizing Method</w:t>
      </w:r>
      <w:r>
        <w:t xml:space="preserve"> elegir </w:t>
      </w:r>
      <w:r>
        <w:rPr>
          <w:b/>
        </w:rPr>
        <w:t xml:space="preserve">Source Lines of Code</w:t>
      </w:r>
      <w:r>
        <w:t xml:space="preserve">. Escribir </w:t>
      </w:r>
      <w:r>
        <w:rPr>
          <w:b/>
        </w:rPr>
        <w:t xml:space="preserve">35000</w:t>
      </w:r>
      <w:r>
        <w:t xml:space="preserve"> en </w:t>
      </w:r>
      <w:r>
        <w:rPr>
          <w:b/>
        </w:rPr>
        <w:t xml:space="preserve">New SLOC</w:t>
      </w:r>
      <w:r>
        <w:t xml:space="preserve">; Reused y Modified permanecen en cero.</w:t>
      </w:r>
    </w:p>
    <w:p>
      <w:pPr>
        <w:pStyle w:val="Normal"/>
        <w:spacing w:after="95"/>
      </w:pPr>
      <w:r>
        <w:t xml:space="preserve">3. En </w:t>
      </w:r>
      <w:r>
        <w:rPr>
          <w:b/>
        </w:rPr>
        <w:t xml:space="preserve">Software Scale Drivers</w:t>
      </w:r>
      <w:r>
        <w:t xml:space="preserve"> seleccionar PREC Low; FLEX Low; RESL Low; TEAM Nominal; PMAT Low.</w:t>
      </w:r>
    </w:p>
    <w:p>
      <w:pPr>
        <w:pStyle w:val="Normal"/>
        <w:spacing w:after="95"/>
      </w:pPr>
      <w:r>
        <w:t xml:space="preserve">4. En </w:t>
      </w:r>
      <w:r>
        <w:rPr>
          <w:b/>
        </w:rPr>
        <w:t xml:space="preserve">Software Cost Drivers</w:t>
      </w:r>
      <w:r>
        <w:t xml:space="preserve"> seleccionar TIME High, STOR Nominal, PVOL High, Platform Experience Low y TOOL Nominal. Los demás quedan Nominal, incluido Required Development Schedule (SCED).</w:t>
      </w:r>
    </w:p>
    <w:p>
      <w:pPr>
        <w:pStyle w:val="Normal"/>
        <w:spacing w:after="95"/>
      </w:pPr>
      <w:r>
        <w:t xml:space="preserve">5. Dejar Maintenance Off; ejecutar </w:t>
      </w:r>
      <w:r>
        <w:rPr>
          <w:b/>
        </w:rPr>
        <w:t xml:space="preserve">Calculate</w:t>
      </w:r>
      <w:r>
        <w:t xml:space="preserve">; anotar y capturar el escenario base en la herramienta real.</w:t>
      </w:r>
    </w:p>
    <w:p>
      <w:pPr>
        <w:pStyle w:val="Normal"/>
        <w:spacing w:after="95"/>
      </w:pPr>
      <w:r>
        <w:t xml:space="preserve">6. Para la mejora cambiar solo </w:t>
      </w:r>
      <w:r>
        <w:rPr>
          <w:b/>
        </w:rPr>
        <w:t xml:space="preserve">Architecture / Risk Resolution: High</w:t>
      </w:r>
      <w:r>
        <w:t xml:space="preserve"> y </w:t>
      </w:r>
      <w:r>
        <w:rPr>
          <w:b/>
        </w:rPr>
        <w:t xml:space="preserve">Platform Experience: High</w:t>
      </w:r>
      <w:r>
        <w:t xml:space="preserve">; ejecutar de nuevo.</w:t>
      </w:r>
    </w:p>
    <w:p>
      <w:pPr>
        <w:pStyle w:val="Normal"/>
        <w:spacing w:after="95"/>
      </w:pPr>
      <w:r>
        <w:t xml:space="preserve">7. Registrar capturas auténticas del segundo escenario. Si la versión web genera pequeñas diferencias de coeficientes o redondeo, usar y documentar sus valores exactos sin alterar los parámetros del enunciado.</w:t>
      </w:r>
    </w:p>
    <w:p>
      <w:pPr>
        <w:pStyle w:val="Heading1"/>
        <w:spacing w:after="125"/>
      </w:pPr>
      <w:r>
        <w:t xml:space="preserve">12. Limitaciones y validación</w:t>
      </w:r>
    </w:p>
    <w:p>
      <w:pPr>
        <w:pStyle w:val="Normal"/>
        <w:spacing w:after="95"/>
      </w:pPr>
      <w:r>
        <w:t xml:space="preserve">COCOMO II es una estimación prospectiva, no una garantía contractual. No se informaron tasas salariales, productividad observada, repartición de las 35 KSLOC entre Python y React, costos del hardware o de servicios cloud ni evidencias de condiciones de campo. La cantidad de personal se deduce de un promedio y no es un plan detallado de incorporación. Para la aplicación real se deben evaluar pruebas en conectividad débil, sincronización diferida, tolerancia a fallos, privacidad y escalabilidad de telemetría.</w:t>
      </w:r>
    </w:p>
    <w:p>
      <w:pPr>
        <w:pStyle w:val="Heading1"/>
        <w:spacing w:after="125"/>
      </w:pPr>
      <w:r>
        <w:t xml:space="preserve">13. Conclusión</w:t>
      </w:r>
    </w:p>
    <w:p>
      <w:pPr>
        <w:pStyle w:val="Normal"/>
        <w:spacing w:after="95"/>
      </w:pPr>
      <w:r>
        <w:t xml:space="preserve">En el escenario base, COCOMO II.2000 estima </w:t>
      </w:r>
      <w:r>
        <w:rPr>
          <w:b/>
        </w:rPr>
        <w:t xml:space="preserve">245.70 PM, 22.37 meses y aproximadamente 11 personas a tiempo completo</w:t>
      </w:r>
      <w:r>
        <w:t xml:space="preserve">. Capacitar al personal y contar con una arquitectura mejor resuelta disminuiría las cifras a </w:t>
      </w:r>
      <w:r>
        <w:rPr>
          <w:b/>
        </w:rPr>
        <w:t xml:space="preserve">185.56 PM, 19.81 meses y aproximadamente 10 personas</w:t>
      </w:r>
      <w:r>
        <w:t xml:space="preserve">. El proyecto podría ahorrar </w:t>
      </w:r>
      <w:r>
        <w:rPr>
          <w:b/>
        </w:rPr>
        <w:t xml:space="preserve">60.14 PM</w:t>
      </w:r>
      <w:r>
        <w:t xml:space="preserve"> y adelantarse </w:t>
      </w:r>
      <w:r>
        <w:rPr>
          <w:b/>
        </w:rPr>
        <w:t xml:space="preserve">2.56 meses</w:t>
      </w:r>
      <w:r>
        <w:t xml:space="preserve">. La inversión es prometedora, pero su viabilidad financiera real debe confirmarse con costos de capacitación, arquitectura y personal proporcionados por la startup.</w:t>
      </w:r>
    </w:p>
    <w:p>
      <w:pPr>
        <w:pStyle w:val="Heading1"/>
        <w:spacing w:after="125"/>
      </w:pPr>
      <w:r>
        <w:t xml:space="preserve">14. Fuentes de consulta</w:t>
      </w:r>
    </w:p>
    <w:p>
      <w:pPr>
        <w:pStyle w:val="Normal"/>
        <w:spacing w:after="95"/>
      </w:pPr>
      <w:r>
        <w:t xml:space="preserve">1. Boehm, B. et al. (2000). </w:t>
      </w:r>
      <w:r>
        <w:rPr>
          <w:b/>
        </w:rPr>
        <w:t xml:space="preserve">COCOMO II Model Definition Manual</w:t>
      </w:r>
      <w:r>
        <w:t xml:space="preserve">, versión 2.1. https://www.rose-hulman.edu/class/csse/csse372/201410/Homework/CII_modelman2000.pdf</w:t>
      </w:r>
    </w:p>
    <w:p>
      <w:pPr>
        <w:pStyle w:val="Normal"/>
        <w:spacing w:after="95"/>
      </w:pPr>
      <w:r>
        <w:t xml:space="preserve">2. Software Cost Estimation. </w:t>
      </w:r>
      <w:r>
        <w:rPr>
          <w:b/>
        </w:rPr>
        <w:t xml:space="preserve">COCOMO II — Constructive Cost Model</w:t>
      </w:r>
      <w:r>
        <w:t xml:space="preserve">. https://softwarecost.org/tools/COCOMO/</w:t>
      </w:r>
    </w:p>
    <w:p>
      <w:pPr>
        <w:pStyle w:val="Normal"/>
        <w:spacing w:after="95"/>
      </w:pPr>
      <w:r>
        <w:t xml:space="preserve">3. Software Effort Estimation Course. </w:t>
      </w:r>
      <w:r>
        <w:rPr>
          <w:b/>
        </w:rPr>
        <w:t xml:space="preserve">COCOMO Quick Reference</w:t>
      </w:r>
      <w:r>
        <w:t xml:space="preserve">. https://dvwl.github.io/software-effort-estimation-course/references/cocomo-reference.html</w:t>
      </w:r>
    </w:p>
    <w:p>
      <w:pPr>
        <w:pStyle w:val="Normal"/>
        <w:spacing w:after="95"/>
      </w:pPr>
      <w:r>
        <w:rPr>
          <w:b/>
        </w:rPr>
        <w:t xml:space="preserve">Integridad de evidencias:</w:t>
      </w:r>
      <w:r>
        <w:t xml:space="preserve"> el reporte presenta cálculos reproducibles y no adjunta capturas simuladas de ejecuciones web.</w:t>
      </w:r>
    </w:p>
    <w:sectPr>
      <w:headerReference w:type="default" r:id="rId2"/>
      <w:footerReference w:type="default" r:id="rId3"/>
      <w:pgSz w:w="12240" w:h="15840"/>
      <w:pgMar w:top="1200" w:bottom="1050" w:left="1060" w:right="1060" w:header="430" w:footer="41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481A0"/>
        <w:sz w:val="16"/>
      </w:rPr>
      <w:t>UPBC · COCOMO II · Peyman Miandashti · Página </w:t>
    </w:r>
    <w:fldSimple w:instr="PAGE"/>
  </w:p>
</w:ftr>
</file>

<file path=word/header1.xml><?xml version="1.0" encoding="utf-8"?>
<w:hdr xmlns:w="http://schemas.openxmlformats.org/wordprocessingml/2006/main">
  <w:p>
    <w:pPr>
      <w:pBdr>
        <w:bottom w:val="single" w:sz="8" w:color="2B5684"/>
      </w:pBdr>
    </w:pPr>
    <w:r>
      <w:rPr>
        <w:b/>
        <w:color w:val="2B5684"/>
        <w:sz w:val="18"/>
      </w:rPr>
      <w:t>UNIVERSIDAD POLITÉCNICA DE BAJA CALIFORNIA · UPBC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color w:val="253858"/>
      </w:rPr>
    </w:rPrDefault>
  </w:docDefaults>
  <w:style w:type="paragraph" w:default="1" w:styleId="Normal">
    <w:name w:val="Normal"/>
    <w:pPr>
      <w:spacing w:after="85"/>
    </w:pPr>
  </w:style>
  <w:style w:type="paragraph" w:styleId="Title">
    <w:name w:val="Title"/>
    <w:pPr>
      <w:spacing w:before="160" w:after="140"/>
      <w:keepNext/>
    </w:pPr>
    <w:rPr>
      <w:b/>
      <w:color w:val="2B5684"/>
      <w:sz w:val="30"/>
    </w:rPr>
  </w:style>
  <w:style w:type="paragraph" w:styleId="Heading1">
    <w:name w:val="heading 1"/>
    <w:basedOn w:val="Normal"/>
    <w:pPr>
      <w:keepNext/>
      <w:spacing w:before="240" w:after="140"/>
    </w:pPr>
    <w:rPr>
      <w:b/>
      <w:color w:val="2B5684"/>
      <w:sz w:val="27"/>
    </w:rPr>
  </w:style>
  <w:style w:type="paragraph" w:styleId="Heading2">
    <w:name w:val="heading 2"/>
    <w:basedOn w:val="Normal"/>
    <w:pPr>
      <w:keepNext/>
      <w:spacing w:before="190" w:after="100"/>
    </w:pPr>
    <w:rPr>
      <w:b/>
      <w:color w:val="2B5684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COCOMO II - Monitoreo IoT Agricultura de Precisión</dc:title>
  <dc:creator>Peyman Miandashti</dc:creator>
</cp:coreProperties>
</file>