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spacing w:after="105"/>
      </w:pPr>
      <w:r>
        <w:t xml:space="preserve">Universidad Politécnica de Baja California</w:t>
      </w:r>
    </w:p>
    <w:p>
      <w:pPr>
        <w:pStyle w:val="Title"/>
        <w:spacing w:after="105"/>
      </w:pPr>
      <w:r>
        <w:t xml:space="preserve">Ejercicio Práctico de Estimación 1: Migración e Integración de un Sistema de Gestión Hospitalaria</w:t>
      </w:r>
    </w:p>
    <w:p>
      <w:pPr>
        <w:pStyle w:val="Normal"/>
        <w:spacing w:after="105"/>
      </w:pPr>
      <w:r>
        <w:t xml:space="preserve"/>
      </w:r>
      <w:r>
        <w:rPr>
          <w:b/>
        </w:rPr>
        <w:t xml:space="preserve">Alumno:</w:t>
      </w:r>
      <w:r>
        <w:t xml:space="preserve"> Peyman Miandashti </w:t>
      </w:r>
      <w:r>
        <w:rPr>
          <w:b/>
        </w:rPr>
        <w:t xml:space="preserve">Docente:</w:t>
      </w:r>
      <w:r>
        <w:t xml:space="preserve"> Héctor Alonso Noriega García </w:t>
      </w:r>
      <w:r>
        <w:rPr>
          <w:b/>
        </w:rPr>
        <w:t xml:space="preserve">Grupo / ciclo:</w:t>
      </w:r>
      <w:r>
        <w:t xml:space="preserve"> ITID 5AFM · 2026-3 </w:t>
      </w:r>
      <w:r>
        <w:rPr>
          <w:b/>
        </w:rPr>
        <w:t xml:space="preserve">Fecha:</w:t>
      </w:r>
      <w:r>
        <w:t xml:space="preserve"> 22 de octubre de 2026 </w:t>
      </w:r>
      <w:r>
        <w:rPr>
          <w:b/>
        </w:rPr>
        <w:t xml:space="preserve">Fecha límite:</w:t>
      </w:r>
      <w:r>
        <w:t xml:space="preserve"> 24 de octubre de 2026, 11:59 p. m. </w:t>
      </w:r>
      <w:r>
        <w:rPr>
          <w:b/>
        </w:rPr>
        <w:t xml:space="preserve">Método:</w:t>
      </w:r>
      <w:r>
        <w:t xml:space="preserve"> COCOMO II.2000 (Post-Architecture)</w:t>
      </w:r>
    </w:p>
    <w:p>
      <w:pPr>
        <w:pStyle w:val="Heading1"/>
        <w:spacing w:after="105"/>
      </w:pPr>
      <w:r>
        <w:t xml:space="preserve">1. Resumen ejecutivo</w:t>
      </w:r>
    </w:p>
    <w:p>
      <w:pPr>
        <w:pStyle w:val="Normal"/>
        <w:spacing w:after="105"/>
      </w:pPr>
      <w:r>
        <w:t xml:space="preserve">Una clínica privada requiere desarrollar un módulo web en TypeScript/Node.js para gestionar citas médicas, historiales clínicos y facturación electrónica. Se estima un tamaño de </w:t>
      </w:r>
      <w:r>
        <w:rPr>
          <w:b/>
        </w:rPr>
        <w:t xml:space="preserve">15 KSLOC (15,000 SLOC)</w:t>
      </w:r>
      <w:r>
        <w:t xml:space="preserve">, se evalúan cinco scale drivers y diecisiete cost drivers, y se comparan un plazo normal (SCED Nominal) con uno de lanzamiento acelerado (SCED Very Low).</w:t>
      </w:r>
    </w:p>
    <w:tbl>
      <w:tblPr>
        <w:tblW w:w="5000" w:type="pct"/>
        <w:tblBorders>
          <w:bottom w:val="single" w:sz="4" w:color="9DB5D0"/>
          <w:insideH w:val="single" w:sz="2" w:color="CBD7E3"/>
        </w:tblBorders>
      </w:tblPr>
      <w:tr>
        <w:tc>
          <w:tcPr>
            <w:tcW w:w="0" w:type="auto"/>
            <w:shd w:fill="D5E4F2"/>
            <w:tcMar>
              <w:top w:w="85" w:type="dxa"/>
              <w:start w:w="95" w:type="dxa"/>
              <w:bottom w:w="85" w:type="dxa"/>
              <w:end w:w="95" w:type="dxa"/>
            </w:tcMar>
          </w:tcPr>
          <w:p>
            <w:pPr>
              <w:spacing w:after="0"/>
            </w:pPr>
            <w:r>
              <w:t xml:space="preserve">Resultado</w:t>
            </w:r>
          </w:p>
        </w:tc>
        <w:tc>
          <w:tcPr>
            <w:tcW w:w="0" w:type="auto"/>
            <w:shd w:fill="D5E4F2"/>
            <w:tcMar>
              <w:top w:w="85" w:type="dxa"/>
              <w:start w:w="95" w:type="dxa"/>
              <w:bottom w:w="85" w:type="dxa"/>
              <w:end w:w="95" w:type="dxa"/>
            </w:tcMar>
          </w:tcPr>
          <w:p>
            <w:pPr>
              <w:spacing w:after="0"/>
            </w:pPr>
            <w:r>
              <w:t xml:space="preserve">SCED Nominal</w:t>
            </w:r>
          </w:p>
        </w:tc>
        <w:tc>
          <w:tcPr>
            <w:tcW w:w="0" w:type="auto"/>
            <w:shd w:fill="D5E4F2"/>
            <w:tcMar>
              <w:top w:w="85" w:type="dxa"/>
              <w:start w:w="95" w:type="dxa"/>
              <w:bottom w:w="85" w:type="dxa"/>
              <w:end w:w="95" w:type="dxa"/>
            </w:tcMar>
          </w:tcPr>
          <w:p>
            <w:pPr>
              <w:spacing w:after="0"/>
            </w:pPr>
            <w:r>
              <w:t xml:space="preserve">SCED Very Low</w:t>
            </w:r>
          </w:p>
        </w:tc>
      </w:tr>
      <w:tr>
        <w:tc>
          <w:tcPr>
            <w:tcW w:w="0" w:type="auto"/>
            <w:shd w:fill="FFFFFF"/>
            <w:tcMar>
              <w:top w:w="85" w:type="dxa"/>
              <w:start w:w="95" w:type="dxa"/>
              <w:bottom w:w="85" w:type="dxa"/>
              <w:end w:w="95" w:type="dxa"/>
            </w:tcMar>
          </w:tcPr>
          <w:p>
            <w:pPr>
              <w:spacing w:after="0"/>
            </w:pPr>
            <w:r>
              <w:t xml:space="preserve">Esfuerzo total estimado</w:t>
            </w:r>
          </w:p>
        </w:tc>
        <w:tc>
          <w:tcPr>
            <w:tcW w:w="0" w:type="auto"/>
            <w:shd w:fill="FFFFFF"/>
            <w:tcMar>
              <w:top w:w="85" w:type="dxa"/>
              <w:start w:w="95" w:type="dxa"/>
              <w:bottom w:w="85" w:type="dxa"/>
              <w:end w:w="95" w:type="dxa"/>
            </w:tcMar>
          </w:tcPr>
          <w:p>
            <w:pPr>
              <w:spacing w:after="0"/>
            </w:pPr>
            <w:r>
              <w:t xml:space="preserve"/>
            </w:r>
            <w:r>
              <w:rPr>
                <w:b/>
              </w:rPr>
              <w:t xml:space="preserve">51.87 PM</w:t>
            </w:r>
            <w:r>
              <w:t xml:space="preserve"/>
            </w:r>
          </w:p>
        </w:tc>
        <w:tc>
          <w:tcPr>
            <w:tcW w:w="0" w:type="auto"/>
            <w:shd w:fill="FFFFFF"/>
            <w:tcMar>
              <w:top w:w="85" w:type="dxa"/>
              <w:start w:w="95" w:type="dxa"/>
              <w:bottom w:w="85" w:type="dxa"/>
              <w:end w:w="95" w:type="dxa"/>
            </w:tcMar>
          </w:tcPr>
          <w:p>
            <w:pPr>
              <w:spacing w:after="0"/>
            </w:pPr>
            <w:r>
              <w:t xml:space="preserve"/>
            </w:r>
            <w:r>
              <w:rPr>
                <w:b/>
              </w:rPr>
              <w:t xml:space="preserve">74.18 PM</w:t>
            </w:r>
            <w:r>
              <w:t xml:space="preserve"/>
            </w:r>
          </w:p>
        </w:tc>
      </w:tr>
      <w:tr>
        <w:tc>
          <w:tcPr>
            <w:tcW w:w="0" w:type="auto"/>
            <w:shd w:fill="EEF3F9"/>
            <w:tcMar>
              <w:top w:w="85" w:type="dxa"/>
              <w:start w:w="95" w:type="dxa"/>
              <w:bottom w:w="85" w:type="dxa"/>
              <w:end w:w="95" w:type="dxa"/>
            </w:tcMar>
          </w:tcPr>
          <w:p>
            <w:pPr>
              <w:spacing w:after="0"/>
            </w:pPr>
            <w:r>
              <w:t xml:space="preserve">Tiempo de desarrollo (TDEV)</w:t>
            </w:r>
          </w:p>
        </w:tc>
        <w:tc>
          <w:tcPr>
            <w:tcW w:w="0" w:type="auto"/>
            <w:shd w:fill="EEF3F9"/>
            <w:tcMar>
              <w:top w:w="85" w:type="dxa"/>
              <w:start w:w="95" w:type="dxa"/>
              <w:bottom w:w="85" w:type="dxa"/>
              <w:end w:w="95" w:type="dxa"/>
            </w:tcMar>
          </w:tcPr>
          <w:p>
            <w:pPr>
              <w:spacing w:after="0"/>
            </w:pPr>
            <w:r>
              <w:t xml:space="preserve"/>
            </w:r>
            <w:r>
              <w:rPr>
                <w:b/>
              </w:rPr>
              <w:t xml:space="preserve">12.53 meses</w:t>
            </w:r>
            <w:r>
              <w:t xml:space="preserve"/>
            </w:r>
          </w:p>
        </w:tc>
        <w:tc>
          <w:tcPr>
            <w:tcW w:w="0" w:type="auto"/>
            <w:shd w:fill="EEF3F9"/>
            <w:tcMar>
              <w:top w:w="85" w:type="dxa"/>
              <w:start w:w="95" w:type="dxa"/>
              <w:bottom w:w="85" w:type="dxa"/>
              <w:end w:w="95" w:type="dxa"/>
            </w:tcMar>
          </w:tcPr>
          <w:p>
            <w:pPr>
              <w:spacing w:after="0"/>
            </w:pPr>
            <w:r>
              <w:t xml:space="preserve"/>
            </w:r>
            <w:r>
              <w:rPr>
                <w:b/>
              </w:rPr>
              <w:t xml:space="preserve">9.40 meses</w:t>
            </w:r>
            <w:r>
              <w:t xml:space="preserve"/>
            </w:r>
          </w:p>
        </w:tc>
      </w:tr>
      <w:tr>
        <w:tc>
          <w:tcPr>
            <w:tcW w:w="0" w:type="auto"/>
            <w:shd w:fill="FFFFFF"/>
            <w:tcMar>
              <w:top w:w="85" w:type="dxa"/>
              <w:start w:w="95" w:type="dxa"/>
              <w:bottom w:w="85" w:type="dxa"/>
              <w:end w:w="95" w:type="dxa"/>
            </w:tcMar>
          </w:tcPr>
          <w:p>
            <w:pPr>
              <w:spacing w:after="0"/>
            </w:pPr>
            <w:r>
              <w:t xml:space="preserve">Equipo promedio equivalente</w:t>
            </w:r>
          </w:p>
        </w:tc>
        <w:tc>
          <w:tcPr>
            <w:tcW w:w="0" w:type="auto"/>
            <w:shd w:fill="FFFFFF"/>
            <w:tcMar>
              <w:top w:w="85" w:type="dxa"/>
              <w:start w:w="95" w:type="dxa"/>
              <w:bottom w:w="85" w:type="dxa"/>
              <w:end w:w="95" w:type="dxa"/>
            </w:tcMar>
          </w:tcPr>
          <w:p>
            <w:pPr>
              <w:spacing w:after="0"/>
            </w:pPr>
            <w:r>
              <w:t xml:space="preserve"/>
            </w:r>
            <w:r>
              <w:rPr>
                <w:b/>
              </w:rPr>
              <w:t xml:space="preserve">4.14 FTE</w:t>
            </w:r>
            <w:r>
              <w:t xml:space="preserve"/>
            </w:r>
          </w:p>
        </w:tc>
        <w:tc>
          <w:tcPr>
            <w:tcW w:w="0" w:type="auto"/>
            <w:shd w:fill="FFFFFF"/>
            <w:tcMar>
              <w:top w:w="85" w:type="dxa"/>
              <w:start w:w="95" w:type="dxa"/>
              <w:bottom w:w="85" w:type="dxa"/>
              <w:end w:w="95" w:type="dxa"/>
            </w:tcMar>
          </w:tcPr>
          <w:p>
            <w:pPr>
              <w:spacing w:after="0"/>
            </w:pPr>
            <w:r>
              <w:t xml:space="preserve"/>
            </w:r>
            <w:r>
              <w:rPr>
                <w:b/>
              </w:rPr>
              <w:t xml:space="preserve">7.90 FTE</w:t>
            </w:r>
            <w:r>
              <w:t xml:space="preserve"/>
            </w:r>
          </w:p>
        </w:tc>
      </w:tr>
      <w:tr>
        <w:tc>
          <w:tcPr>
            <w:tcW w:w="0" w:type="auto"/>
            <w:shd w:fill="EEF3F9"/>
            <w:tcMar>
              <w:top w:w="85" w:type="dxa"/>
              <w:start w:w="95" w:type="dxa"/>
              <w:bottom w:w="85" w:type="dxa"/>
              <w:end w:w="95" w:type="dxa"/>
            </w:tcMar>
          </w:tcPr>
          <w:p>
            <w:pPr>
              <w:spacing w:after="0"/>
            </w:pPr>
            <w:r>
              <w:t xml:space="preserve">Contratación orientativa</w:t>
            </w:r>
          </w:p>
        </w:tc>
        <w:tc>
          <w:tcPr>
            <w:tcW w:w="0" w:type="auto"/>
            <w:shd w:fill="EEF3F9"/>
            <w:tcMar>
              <w:top w:w="85" w:type="dxa"/>
              <w:start w:w="95" w:type="dxa"/>
              <w:bottom w:w="85" w:type="dxa"/>
              <w:end w:w="95" w:type="dxa"/>
            </w:tcMar>
          </w:tcPr>
          <w:p>
            <w:pPr>
              <w:spacing w:after="0"/>
            </w:pPr>
            <w:r>
              <w:t xml:space="preserve"/>
            </w:r>
            <w:r>
              <w:rPr>
                <w:b/>
              </w:rPr>
              <w:t xml:space="preserve">5 desarrolladores</w:t>
            </w:r>
            <w:r>
              <w:t xml:space="preserve"/>
            </w:r>
          </w:p>
        </w:tc>
        <w:tc>
          <w:tcPr>
            <w:tcW w:w="0" w:type="auto"/>
            <w:shd w:fill="EEF3F9"/>
            <w:tcMar>
              <w:top w:w="85" w:type="dxa"/>
              <w:start w:w="95" w:type="dxa"/>
              <w:bottom w:w="85" w:type="dxa"/>
              <w:end w:w="95" w:type="dxa"/>
            </w:tcMar>
          </w:tcPr>
          <w:p>
            <w:pPr>
              <w:spacing w:after="0"/>
            </w:pPr>
            <w:r>
              <w:t xml:space="preserve"/>
            </w:r>
            <w:r>
              <w:rPr>
                <w:b/>
              </w:rPr>
              <w:t xml:space="preserve">8 desarrolladores</w:t>
            </w:r>
            <w:r>
              <w:t xml:space="preserve"/>
            </w:r>
          </w:p>
        </w:tc>
      </w:tr>
    </w:tbl>
    <w:p>
      <w:pPr>
        <w:pStyle w:val="Normal"/>
        <w:spacing w:after="105"/>
      </w:pPr>
      <w:r>
        <w:t xml:space="preserve">Con SCED Very Low el tiempo nominal se comprime un </w:t>
      </w:r>
      <w:r>
        <w:rPr>
          <w:b/>
        </w:rPr>
        <w:t xml:space="preserve">25 %</w:t>
      </w:r>
      <w:r>
        <w:t xml:space="preserve">, pero se requieren </w:t>
      </w:r>
      <w:r>
        <w:rPr>
          <w:b/>
        </w:rPr>
        <w:t xml:space="preserve">43 % más personas-mes</w:t>
      </w:r>
      <w:r>
        <w:t xml:space="preserve">, aproximadamente </w:t>
      </w:r>
      <w:r>
        <w:rPr>
          <w:b/>
        </w:rPr>
        <w:t xml:space="preserve">22.30 PM</w:t>
      </w:r>
      <w:r>
        <w:t xml:space="preserve"> extra.</w:t>
      </w:r>
    </w:p>
    <w:p>
      <w:pPr>
        <w:pStyle w:val="Heading1"/>
        <w:spacing w:after="105"/>
      </w:pPr>
      <w:r>
        <w:t xml:space="preserve">2. Objetivo y contexto</w:t>
      </w:r>
    </w:p>
    <w:p>
      <w:pPr>
        <w:pStyle w:val="Normal"/>
        <w:spacing w:after="105"/>
      </w:pPr>
      <w:r>
        <w:t xml:space="preserve">COCOMO II permite expresar de modo paramétrico el esfuerzo de software en </w:t>
      </w:r>
      <w:r>
        <w:rPr>
          <w:b/>
        </w:rPr>
        <w:t xml:space="preserve">personas-mes (PM)</w:t>
      </w:r>
      <w:r>
        <w:t xml:space="preserve">, el tiempo de calendario en </w:t>
      </w:r>
      <w:r>
        <w:rPr>
          <w:b/>
        </w:rPr>
        <w:t xml:space="preserve">TDEV</w:t>
      </w:r>
      <w:r>
        <w:t xml:space="preserve"> y el tamaño de equipo promedio como el cociente </w:t>
      </w:r>
      <w:r>
        <w:rPr>
          <w:rFonts w:ascii="Consolas" w:hAnsi="Consolas"/>
          <w:color w:val="253858"/>
          <w:sz w:val="18"/>
        </w:rPr>
        <w:t xml:space="preserve">PM / TDEV</w:t>
      </w:r>
      <w:r>
        <w:t xml:space="preserve">. Un PM es una unidad de esfuerzo y no equivale automáticamente a un mes de calendario.</w:t>
      </w:r>
    </w:p>
    <w:p>
      <w:pPr>
        <w:pStyle w:val="Normal"/>
        <w:spacing w:after="105"/>
      </w:pPr>
      <w:r>
        <w:t xml:space="preserve">El ejercicio evalúa una aplicación hospitalaria que debe ser confiable, almacenar datos voluminosos y ejecutar lógica de negocio con alta complejidad. El equipo ha realizado sistemas web, pero no aplicaciones sanitarias similares; sí dispone de flexibilidad parcial, prototipo arquitectónico, dos años de trabajo conjunto y procesos de madurez media.</w:t>
      </w:r>
    </w:p>
    <w:p>
      <w:pPr>
        <w:pStyle w:val="Heading1"/>
        <w:spacing w:after="105"/>
      </w:pPr>
      <w:r>
        <w:t xml:space="preserve">3. Datos para la calculadora</w:t>
      </w:r>
    </w:p>
    <w:p>
      <w:pPr>
        <w:pStyle w:val="Heading2"/>
        <w:spacing w:after="105"/>
      </w:pPr>
      <w:r>
        <w:t xml:space="preserve">3.1 Tamaño</w:t>
      </w:r>
    </w:p>
    <w:p>
      <w:pPr>
        <w:pStyle w:val="Normal"/>
        <w:spacing w:after="105"/>
      </w:pPr>
      <w:r>
        <w:t xml:space="preserve">• </w:t>
      </w:r>
      <w:r>
        <w:rPr>
          <w:rFonts w:ascii="Consolas" w:hAnsi="Consolas"/>
          <w:color w:val="253858"/>
          <w:sz w:val="18"/>
        </w:rPr>
        <w:t xml:space="preserve">Sizing Method</w:t>
      </w:r>
      <w:r>
        <w:t xml:space="preserve">: </w:t>
      </w:r>
      <w:r>
        <w:rPr>
          <w:b/>
        </w:rPr>
        <w:t xml:space="preserve">Source Lines of Code</w:t>
      </w:r>
      <w:r>
        <w:t xml:space="preserve">.</w:t>
      </w:r>
    </w:p>
    <w:p>
      <w:pPr>
        <w:pStyle w:val="Normal"/>
        <w:spacing w:after="105"/>
      </w:pPr>
      <w:r>
        <w:t xml:space="preserve">• </w:t>
      </w:r>
      <w:r>
        <w:rPr>
          <w:rFonts w:ascii="Consolas" w:hAnsi="Consolas"/>
          <w:color w:val="253858"/>
          <w:sz w:val="18"/>
        </w:rPr>
        <w:t xml:space="preserve">New</w:t>
      </w:r>
      <w:r>
        <w:t xml:space="preserve">: </w:t>
      </w:r>
      <w:r>
        <w:rPr>
          <w:b/>
        </w:rPr>
        <w:t xml:space="preserve">15000 SLOC</w:t>
      </w:r>
      <w:r>
        <w:t xml:space="preserve"> (equivalentes a </w:t>
      </w:r>
      <w:r>
        <w:rPr>
          <w:b/>
        </w:rPr>
        <w:t xml:space="preserve">15 KSLOC</w:t>
      </w:r>
      <w:r>
        <w:t xml:space="preserve">).</w:t>
      </w:r>
    </w:p>
    <w:p>
      <w:pPr>
        <w:pStyle w:val="Normal"/>
        <w:spacing w:after="105"/>
      </w:pPr>
      <w:r>
        <w:t xml:space="preserve">• </w:t>
      </w:r>
      <w:r>
        <w:rPr>
          <w:rFonts w:ascii="Consolas" w:hAnsi="Consolas"/>
          <w:color w:val="253858"/>
          <w:sz w:val="18"/>
        </w:rPr>
        <w:t xml:space="preserve">Reused</w:t>
      </w:r>
      <w:r>
        <w:t xml:space="preserve">: </w:t>
      </w:r>
      <w:r>
        <w:rPr>
          <w:b/>
        </w:rPr>
        <w:t xml:space="preserve">0 SLOC</w:t>
      </w:r>
      <w:r>
        <w:t xml:space="preserve">.</w:t>
      </w:r>
    </w:p>
    <w:p>
      <w:pPr>
        <w:pStyle w:val="Normal"/>
        <w:spacing w:after="105"/>
      </w:pPr>
      <w:r>
        <w:t xml:space="preserve">• </w:t>
      </w:r>
      <w:r>
        <w:rPr>
          <w:rFonts w:ascii="Consolas" w:hAnsi="Consolas"/>
          <w:color w:val="253858"/>
          <w:sz w:val="18"/>
        </w:rPr>
        <w:t xml:space="preserve">Modified</w:t>
      </w:r>
      <w:r>
        <w:t xml:space="preserve">: </w:t>
      </w:r>
      <w:r>
        <w:rPr>
          <w:b/>
        </w:rPr>
        <w:t xml:space="preserve">0 SLOC</w:t>
      </w:r>
      <w:r>
        <w:t xml:space="preserve">.</w:t>
      </w:r>
    </w:p>
    <w:p>
      <w:pPr>
        <w:pStyle w:val="Normal"/>
        <w:spacing w:after="105"/>
      </w:pPr>
      <w:r>
        <w:t xml:space="preserve">• </w:t>
      </w:r>
      <w:r>
        <w:rPr>
          <w:rFonts w:ascii="Consolas" w:hAnsi="Consolas"/>
          <w:color w:val="253858"/>
          <w:sz w:val="18"/>
        </w:rPr>
        <w:t xml:space="preserve">Maintenance</w:t>
      </w:r>
      <w:r>
        <w:t xml:space="preserve">: </w:t>
      </w:r>
      <w:r>
        <w:rPr>
          <w:b/>
        </w:rPr>
        <w:t xml:space="preserve">Off</w:t>
      </w:r>
      <w:r>
        <w:t xml:space="preserve">.</w:t>
      </w:r>
    </w:p>
    <w:p>
      <w:pPr>
        <w:pStyle w:val="Normal"/>
        <w:spacing w:after="105"/>
      </w:pPr>
      <w:r>
        <w:t xml:space="preserve">Se utiliza únicamente código nuevo porque el enunciado no proporciona métricas de código modificado o reutilizado.</w:t>
      </w:r>
    </w:p>
    <w:p>
      <w:pPr>
        <w:pStyle w:val="Heading2"/>
        <w:spacing w:after="105"/>
      </w:pPr>
      <w:r>
        <w:t xml:space="preserve">3.2 Factores de escala</w:t>
      </w:r>
    </w:p>
    <w:tbl>
      <w:tblPr>
        <w:tblW w:w="5000" w:type="pct"/>
        <w:tblBorders>
          <w:bottom w:val="single" w:sz="4" w:color="9DB5D0"/>
          <w:insideH w:val="single" w:sz="2" w:color="CBD7E3"/>
        </w:tblBorders>
      </w:tblPr>
      <w:tr>
        <w:tc>
          <w:tcPr>
            <w:tcW w:w="0" w:type="auto"/>
            <w:shd w:fill="D5E4F2"/>
            <w:tcMar>
              <w:top w:w="85" w:type="dxa"/>
              <w:start w:w="95" w:type="dxa"/>
              <w:bottom w:w="85" w:type="dxa"/>
              <w:end w:w="95" w:type="dxa"/>
            </w:tcMar>
          </w:tcPr>
          <w:p>
            <w:pPr>
              <w:spacing w:after="0"/>
            </w:pPr>
            <w:r>
              <w:t xml:space="preserve">Factor</w:t>
            </w:r>
          </w:p>
        </w:tc>
        <w:tc>
          <w:tcPr>
            <w:tcW w:w="0" w:type="auto"/>
            <w:shd w:fill="D5E4F2"/>
            <w:tcMar>
              <w:top w:w="85" w:type="dxa"/>
              <w:start w:w="95" w:type="dxa"/>
              <w:bottom w:w="85" w:type="dxa"/>
              <w:end w:w="95" w:type="dxa"/>
            </w:tcMar>
          </w:tcPr>
          <w:p>
            <w:pPr>
              <w:spacing w:after="0"/>
            </w:pPr>
            <w:r>
              <w:t xml:space="preserve">Evaluación</w:t>
            </w:r>
          </w:p>
        </w:tc>
        <w:tc>
          <w:tcPr>
            <w:tcW w:w="0" w:type="auto"/>
            <w:shd w:fill="D5E4F2"/>
            <w:tcMar>
              <w:top w:w="85" w:type="dxa"/>
              <w:start w:w="95" w:type="dxa"/>
              <w:bottom w:w="85" w:type="dxa"/>
              <w:end w:w="95" w:type="dxa"/>
            </w:tcMar>
          </w:tcPr>
          <w:p>
            <w:pPr>
              <w:spacing w:after="0"/>
            </w:pPr>
            <w:r>
              <w:t xml:space="preserve">Valor</w:t>
            </w:r>
          </w:p>
        </w:tc>
        <w:tc>
          <w:tcPr>
            <w:tcW w:w="0" w:type="auto"/>
            <w:shd w:fill="D5E4F2"/>
            <w:tcMar>
              <w:top w:w="85" w:type="dxa"/>
              <w:start w:w="95" w:type="dxa"/>
              <w:bottom w:w="85" w:type="dxa"/>
              <w:end w:w="95" w:type="dxa"/>
            </w:tcMar>
          </w:tcPr>
          <w:p>
            <w:pPr>
              <w:spacing w:after="0"/>
            </w:pPr>
            <w:r>
              <w:t xml:space="preserve">Justificación</w:t>
            </w:r>
          </w:p>
        </w:tc>
      </w:tr>
      <w:tr>
        <w:tc>
          <w:tcPr>
            <w:tcW w:w="0" w:type="auto"/>
            <w:shd w:fill="FFFFFF"/>
            <w:tcMar>
              <w:top w:w="85" w:type="dxa"/>
              <w:start w:w="95" w:type="dxa"/>
              <w:bottom w:w="85" w:type="dxa"/>
              <w:end w:w="95" w:type="dxa"/>
            </w:tcMar>
          </w:tcPr>
          <w:p>
            <w:pPr>
              <w:spacing w:after="0"/>
            </w:pPr>
            <w:r>
              <w:t xml:space="preserve">PREC</w:t>
            </w:r>
          </w:p>
        </w:tc>
        <w:tc>
          <w:tcPr>
            <w:tcW w:w="0" w:type="auto"/>
            <w:shd w:fill="FFFFFF"/>
            <w:tcMar>
              <w:top w:w="85" w:type="dxa"/>
              <w:start w:w="95" w:type="dxa"/>
              <w:bottom w:w="85" w:type="dxa"/>
              <w:end w:w="95" w:type="dxa"/>
            </w:tcMar>
          </w:tcPr>
          <w:p>
            <w:pPr>
              <w:spacing w:after="0"/>
            </w:pPr>
            <w:r>
              <w:t xml:space="preserve">Nominal</w:t>
            </w:r>
          </w:p>
        </w:tc>
        <w:tc>
          <w:tcPr>
            <w:tcW w:w="0" w:type="auto"/>
            <w:shd w:fill="FFFFFF"/>
            <w:tcMar>
              <w:top w:w="85" w:type="dxa"/>
              <w:start w:w="95" w:type="dxa"/>
              <w:bottom w:w="85" w:type="dxa"/>
              <w:end w:w="95" w:type="dxa"/>
            </w:tcMar>
          </w:tcPr>
          <w:p>
            <w:pPr>
              <w:spacing w:after="0"/>
            </w:pPr>
            <w:r>
              <w:t xml:space="preserve">3.72</w:t>
            </w:r>
          </w:p>
        </w:tc>
        <w:tc>
          <w:tcPr>
            <w:tcW w:w="0" w:type="auto"/>
            <w:shd w:fill="FFFFFF"/>
            <w:tcMar>
              <w:top w:w="85" w:type="dxa"/>
              <w:start w:w="95" w:type="dxa"/>
              <w:bottom w:w="85" w:type="dxa"/>
              <w:end w:w="95" w:type="dxa"/>
            </w:tcMar>
          </w:tcPr>
          <w:p>
            <w:pPr>
              <w:spacing w:after="0"/>
            </w:pPr>
            <w:r>
              <w:t xml:space="preserve">Existe experiencia web, no sanitaria.</w:t>
            </w:r>
          </w:p>
        </w:tc>
      </w:tr>
      <w:tr>
        <w:tc>
          <w:tcPr>
            <w:tcW w:w="0" w:type="auto"/>
            <w:shd w:fill="EEF3F9"/>
            <w:tcMar>
              <w:top w:w="85" w:type="dxa"/>
              <w:start w:w="95" w:type="dxa"/>
              <w:bottom w:w="85" w:type="dxa"/>
              <w:end w:w="95" w:type="dxa"/>
            </w:tcMar>
          </w:tcPr>
          <w:p>
            <w:pPr>
              <w:spacing w:after="0"/>
            </w:pPr>
            <w:r>
              <w:t xml:space="preserve">FLEX</w:t>
            </w:r>
          </w:p>
        </w:tc>
        <w:tc>
          <w:tcPr>
            <w:tcW w:w="0" w:type="auto"/>
            <w:shd w:fill="EEF3F9"/>
            <w:tcMar>
              <w:top w:w="85" w:type="dxa"/>
              <w:start w:w="95" w:type="dxa"/>
              <w:bottom w:w="85" w:type="dxa"/>
              <w:end w:w="95" w:type="dxa"/>
            </w:tcMar>
          </w:tcPr>
          <w:p>
            <w:pPr>
              <w:spacing w:after="0"/>
            </w:pPr>
            <w:r>
              <w:t xml:space="preserve">High</w:t>
            </w:r>
          </w:p>
        </w:tc>
        <w:tc>
          <w:tcPr>
            <w:tcW w:w="0" w:type="auto"/>
            <w:shd w:fill="EEF3F9"/>
            <w:tcMar>
              <w:top w:w="85" w:type="dxa"/>
              <w:start w:w="95" w:type="dxa"/>
              <w:bottom w:w="85" w:type="dxa"/>
              <w:end w:w="95" w:type="dxa"/>
            </w:tcMar>
          </w:tcPr>
          <w:p>
            <w:pPr>
              <w:spacing w:after="0"/>
            </w:pPr>
            <w:r>
              <w:t xml:space="preserve">2.03</w:t>
            </w:r>
          </w:p>
        </w:tc>
        <w:tc>
          <w:tcPr>
            <w:tcW w:w="0" w:type="auto"/>
            <w:shd w:fill="EEF3F9"/>
            <w:tcMar>
              <w:top w:w="85" w:type="dxa"/>
              <w:start w:w="95" w:type="dxa"/>
              <w:bottom w:w="85" w:type="dxa"/>
              <w:end w:w="95" w:type="dxa"/>
            </w:tcMar>
          </w:tcPr>
          <w:p>
            <w:pPr>
              <w:spacing w:after="0"/>
            </w:pPr>
            <w:r>
              <w:t xml:space="preserve">El cliente permite flexibilidad en módulos.</w:t>
            </w:r>
          </w:p>
        </w:tc>
      </w:tr>
      <w:tr>
        <w:tc>
          <w:tcPr>
            <w:tcW w:w="0" w:type="auto"/>
            <w:shd w:fill="FFFFFF"/>
            <w:tcMar>
              <w:top w:w="85" w:type="dxa"/>
              <w:start w:w="95" w:type="dxa"/>
              <w:bottom w:w="85" w:type="dxa"/>
              <w:end w:w="95" w:type="dxa"/>
            </w:tcMar>
          </w:tcPr>
          <w:p>
            <w:pPr>
              <w:spacing w:after="0"/>
            </w:pPr>
            <w:r>
              <w:t xml:space="preserve">RESL</w:t>
            </w:r>
          </w:p>
        </w:tc>
        <w:tc>
          <w:tcPr>
            <w:tcW w:w="0" w:type="auto"/>
            <w:shd w:fill="FFFFFF"/>
            <w:tcMar>
              <w:top w:w="85" w:type="dxa"/>
              <w:start w:w="95" w:type="dxa"/>
              <w:bottom w:w="85" w:type="dxa"/>
              <w:end w:w="95" w:type="dxa"/>
            </w:tcMar>
          </w:tcPr>
          <w:p>
            <w:pPr>
              <w:spacing w:after="0"/>
            </w:pPr>
            <w:r>
              <w:t xml:space="preserve">High</w:t>
            </w:r>
          </w:p>
        </w:tc>
        <w:tc>
          <w:tcPr>
            <w:tcW w:w="0" w:type="auto"/>
            <w:shd w:fill="FFFFFF"/>
            <w:tcMar>
              <w:top w:w="85" w:type="dxa"/>
              <w:start w:w="95" w:type="dxa"/>
              <w:bottom w:w="85" w:type="dxa"/>
              <w:end w:w="95" w:type="dxa"/>
            </w:tcMar>
          </w:tcPr>
          <w:p>
            <w:pPr>
              <w:spacing w:after="0"/>
            </w:pPr>
            <w:r>
              <w:t xml:space="preserve">2.83</w:t>
            </w:r>
          </w:p>
        </w:tc>
        <w:tc>
          <w:tcPr>
            <w:tcW w:w="0" w:type="auto"/>
            <w:shd w:fill="FFFFFF"/>
            <w:tcMar>
              <w:top w:w="85" w:type="dxa"/>
              <w:start w:w="95" w:type="dxa"/>
              <w:bottom w:w="85" w:type="dxa"/>
              <w:end w:w="95" w:type="dxa"/>
            </w:tcMar>
          </w:tcPr>
          <w:p>
            <w:pPr>
              <w:spacing w:after="0"/>
            </w:pPr>
            <w:r>
              <w:t xml:space="preserve">Se desarrolló un prototipo de arquitectura.</w:t>
            </w:r>
          </w:p>
        </w:tc>
      </w:tr>
      <w:tr>
        <w:tc>
          <w:tcPr>
            <w:tcW w:w="0" w:type="auto"/>
            <w:shd w:fill="EEF3F9"/>
            <w:tcMar>
              <w:top w:w="85" w:type="dxa"/>
              <w:start w:w="95" w:type="dxa"/>
              <w:bottom w:w="85" w:type="dxa"/>
              <w:end w:w="95" w:type="dxa"/>
            </w:tcMar>
          </w:tcPr>
          <w:p>
            <w:pPr>
              <w:spacing w:after="0"/>
            </w:pPr>
            <w:r>
              <w:t xml:space="preserve">TEAM</w:t>
            </w:r>
          </w:p>
        </w:tc>
        <w:tc>
          <w:tcPr>
            <w:tcW w:w="0" w:type="auto"/>
            <w:shd w:fill="EEF3F9"/>
            <w:tcMar>
              <w:top w:w="85" w:type="dxa"/>
              <w:start w:w="95" w:type="dxa"/>
              <w:bottom w:w="85" w:type="dxa"/>
              <w:end w:w="95" w:type="dxa"/>
            </w:tcMar>
          </w:tcPr>
          <w:p>
            <w:pPr>
              <w:spacing w:after="0"/>
            </w:pPr>
            <w:r>
              <w:t xml:space="preserve">High</w:t>
            </w:r>
          </w:p>
        </w:tc>
        <w:tc>
          <w:tcPr>
            <w:tcW w:w="0" w:type="auto"/>
            <w:shd w:fill="EEF3F9"/>
            <w:tcMar>
              <w:top w:w="85" w:type="dxa"/>
              <w:start w:w="95" w:type="dxa"/>
              <w:bottom w:w="85" w:type="dxa"/>
              <w:end w:w="95" w:type="dxa"/>
            </w:tcMar>
          </w:tcPr>
          <w:p>
            <w:pPr>
              <w:spacing w:after="0"/>
            </w:pPr>
            <w:r>
              <w:t xml:space="preserve">2.19</w:t>
            </w:r>
          </w:p>
        </w:tc>
        <w:tc>
          <w:tcPr>
            <w:tcW w:w="0" w:type="auto"/>
            <w:shd w:fill="EEF3F9"/>
            <w:tcMar>
              <w:top w:w="85" w:type="dxa"/>
              <w:start w:w="95" w:type="dxa"/>
              <w:bottom w:w="85" w:type="dxa"/>
              <w:end w:w="95" w:type="dxa"/>
            </w:tcMar>
          </w:tcPr>
          <w:p>
            <w:pPr>
              <w:spacing w:after="0"/>
            </w:pPr>
            <w:r>
              <w:t xml:space="preserve">El equipo trabajó junto dos años.</w:t>
            </w:r>
          </w:p>
        </w:tc>
      </w:tr>
      <w:tr>
        <w:tc>
          <w:tcPr>
            <w:tcW w:w="0" w:type="auto"/>
            <w:shd w:fill="FFFFFF"/>
            <w:tcMar>
              <w:top w:w="85" w:type="dxa"/>
              <w:start w:w="95" w:type="dxa"/>
              <w:bottom w:w="85" w:type="dxa"/>
              <w:end w:w="95" w:type="dxa"/>
            </w:tcMar>
          </w:tcPr>
          <w:p>
            <w:pPr>
              <w:spacing w:after="0"/>
            </w:pPr>
            <w:r>
              <w:t xml:space="preserve">PMAT</w:t>
            </w:r>
          </w:p>
        </w:tc>
        <w:tc>
          <w:tcPr>
            <w:tcW w:w="0" w:type="auto"/>
            <w:shd w:fill="FFFFFF"/>
            <w:tcMar>
              <w:top w:w="85" w:type="dxa"/>
              <w:start w:w="95" w:type="dxa"/>
              <w:bottom w:w="85" w:type="dxa"/>
              <w:end w:w="95" w:type="dxa"/>
            </w:tcMar>
          </w:tcPr>
          <w:p>
            <w:pPr>
              <w:spacing w:after="0"/>
            </w:pPr>
            <w:r>
              <w:t xml:space="preserve">Nominal</w:t>
            </w:r>
          </w:p>
        </w:tc>
        <w:tc>
          <w:tcPr>
            <w:tcW w:w="0" w:type="auto"/>
            <w:shd w:fill="FFFFFF"/>
            <w:tcMar>
              <w:top w:w="85" w:type="dxa"/>
              <w:start w:w="95" w:type="dxa"/>
              <w:bottom w:w="85" w:type="dxa"/>
              <w:end w:w="95" w:type="dxa"/>
            </w:tcMar>
          </w:tcPr>
          <w:p>
            <w:pPr>
              <w:spacing w:after="0"/>
            </w:pPr>
            <w:r>
              <w:t xml:space="preserve">4.68</w:t>
            </w:r>
          </w:p>
        </w:tc>
        <w:tc>
          <w:tcPr>
            <w:tcW w:w="0" w:type="auto"/>
            <w:shd w:fill="FFFFFF"/>
            <w:tcMar>
              <w:top w:w="85" w:type="dxa"/>
              <w:start w:w="95" w:type="dxa"/>
              <w:bottom w:w="85" w:type="dxa"/>
              <w:end w:w="95" w:type="dxa"/>
            </w:tcMar>
          </w:tcPr>
          <w:p>
            <w:pPr>
              <w:spacing w:after="0"/>
            </w:pPr>
            <w:r>
              <w:t xml:space="preserve">Procesos de madurez media.</w:t>
            </w:r>
          </w:p>
        </w:tc>
      </w:tr>
    </w:tbl>
    <w:p>
      <w:pPr>
        <w:pStyle w:val="Normal"/>
        <w:spacing w:after="105"/>
      </w:pPr>
      <w:r>
        <w:t xml:space="preserve"/>
      </w:r>
      <w:r>
        <w:rPr>
          <w:rFonts w:ascii="Consolas" w:hAnsi="Consolas"/>
          <w:color w:val="253858"/>
          <w:sz w:val="18"/>
        </w:rPr>
        <w:t xml:space="preserve">ΣSF = 3.72 + 2.03 + 2.83 + 2.19 + 4.68 = 15.45</w:t>
      </w:r>
      <w:r>
        <w:t xml:space="preserve">.</w:t>
      </w:r>
    </w:p>
    <w:p>
      <w:pPr>
        <w:pStyle w:val="Heading2"/>
        <w:spacing w:after="105"/>
      </w:pPr>
      <w:r>
        <w:t xml:space="preserve">3.3 Controladores de costo destacados</w:t>
      </w:r>
    </w:p>
    <w:tbl>
      <w:tblPr>
        <w:tblW w:w="5000" w:type="pct"/>
        <w:tblBorders>
          <w:bottom w:val="single" w:sz="4" w:color="9DB5D0"/>
          <w:insideH w:val="single" w:sz="2" w:color="CBD7E3"/>
        </w:tblBorders>
      </w:tblPr>
      <w:tr>
        <w:tc>
          <w:tcPr>
            <w:tcW w:w="0" w:type="auto"/>
            <w:shd w:fill="D5E4F2"/>
            <w:tcMar>
              <w:top w:w="85" w:type="dxa"/>
              <w:start w:w="95" w:type="dxa"/>
              <w:bottom w:w="85" w:type="dxa"/>
              <w:end w:w="95" w:type="dxa"/>
            </w:tcMar>
          </w:tcPr>
          <w:p>
            <w:pPr>
              <w:spacing w:after="0"/>
            </w:pPr>
            <w:r>
              <w:t xml:space="preserve">Factor</w:t>
            </w:r>
          </w:p>
        </w:tc>
        <w:tc>
          <w:tcPr>
            <w:tcW w:w="0" w:type="auto"/>
            <w:shd w:fill="D5E4F2"/>
            <w:tcMar>
              <w:top w:w="85" w:type="dxa"/>
              <w:start w:w="95" w:type="dxa"/>
              <w:bottom w:w="85" w:type="dxa"/>
              <w:end w:w="95" w:type="dxa"/>
            </w:tcMar>
          </w:tcPr>
          <w:p>
            <w:pPr>
              <w:spacing w:after="0"/>
            </w:pPr>
            <w:r>
              <w:t xml:space="preserve">Calificación</w:t>
            </w:r>
          </w:p>
        </w:tc>
        <w:tc>
          <w:tcPr>
            <w:tcW w:w="0" w:type="auto"/>
            <w:shd w:fill="D5E4F2"/>
            <w:tcMar>
              <w:top w:w="85" w:type="dxa"/>
              <w:start w:w="95" w:type="dxa"/>
              <w:bottom w:w="85" w:type="dxa"/>
              <w:end w:w="95" w:type="dxa"/>
            </w:tcMar>
          </w:tcPr>
          <w:p>
            <w:pPr>
              <w:spacing w:after="0"/>
            </w:pPr>
            <w:r>
              <w:t xml:space="preserve">EM</w:t>
            </w:r>
          </w:p>
        </w:tc>
        <w:tc>
          <w:tcPr>
            <w:tcW w:w="0" w:type="auto"/>
            <w:shd w:fill="D5E4F2"/>
            <w:tcMar>
              <w:top w:w="85" w:type="dxa"/>
              <w:start w:w="95" w:type="dxa"/>
              <w:bottom w:w="85" w:type="dxa"/>
              <w:end w:w="95" w:type="dxa"/>
            </w:tcMar>
          </w:tcPr>
          <w:p>
            <w:pPr>
              <w:spacing w:after="0"/>
            </w:pPr>
            <w:r>
              <w:t xml:space="preserve">Interpretación</w:t>
            </w:r>
          </w:p>
        </w:tc>
      </w:tr>
      <w:tr>
        <w:tc>
          <w:tcPr>
            <w:tcW w:w="0" w:type="auto"/>
            <w:shd w:fill="FFFFFF"/>
            <w:tcMar>
              <w:top w:w="85" w:type="dxa"/>
              <w:start w:w="95" w:type="dxa"/>
              <w:bottom w:w="85" w:type="dxa"/>
              <w:end w:w="95" w:type="dxa"/>
            </w:tcMar>
          </w:tcPr>
          <w:p>
            <w:pPr>
              <w:spacing w:after="0"/>
            </w:pPr>
            <w:r>
              <w:t xml:space="preserve">RELY</w:t>
            </w:r>
          </w:p>
        </w:tc>
        <w:tc>
          <w:tcPr>
            <w:tcW w:w="0" w:type="auto"/>
            <w:shd w:fill="FFFFFF"/>
            <w:tcMar>
              <w:top w:w="85" w:type="dxa"/>
              <w:start w:w="95" w:type="dxa"/>
              <w:bottom w:w="85" w:type="dxa"/>
              <w:end w:w="95" w:type="dxa"/>
            </w:tcMar>
          </w:tcPr>
          <w:p>
            <w:pPr>
              <w:spacing w:after="0"/>
            </w:pPr>
            <w:r>
              <w:t xml:space="preserve">High</w:t>
            </w:r>
          </w:p>
        </w:tc>
        <w:tc>
          <w:tcPr>
            <w:tcW w:w="0" w:type="auto"/>
            <w:shd w:fill="FFFFFF"/>
            <w:tcMar>
              <w:top w:w="85" w:type="dxa"/>
              <w:start w:w="95" w:type="dxa"/>
              <w:bottom w:w="85" w:type="dxa"/>
              <w:end w:w="95" w:type="dxa"/>
            </w:tcMar>
          </w:tcPr>
          <w:p>
            <w:pPr>
              <w:spacing w:after="0"/>
            </w:pPr>
            <w:r>
              <w:t xml:space="preserve">1.10</w:t>
            </w:r>
          </w:p>
        </w:tc>
        <w:tc>
          <w:tcPr>
            <w:tcW w:w="0" w:type="auto"/>
            <w:shd w:fill="FFFFFF"/>
            <w:tcMar>
              <w:top w:w="85" w:type="dxa"/>
              <w:start w:w="95" w:type="dxa"/>
              <w:bottom w:w="85" w:type="dxa"/>
              <w:end w:w="95" w:type="dxa"/>
            </w:tcMar>
          </w:tcPr>
          <w:p>
            <w:pPr>
              <w:spacing w:after="0"/>
            </w:pPr>
            <w:r>
              <w:t xml:space="preserve">Impacto de fallos en expedientes y citas.</w:t>
            </w:r>
          </w:p>
        </w:tc>
      </w:tr>
      <w:tr>
        <w:tc>
          <w:tcPr>
            <w:tcW w:w="0" w:type="auto"/>
            <w:shd w:fill="EEF3F9"/>
            <w:tcMar>
              <w:top w:w="85" w:type="dxa"/>
              <w:start w:w="95" w:type="dxa"/>
              <w:bottom w:w="85" w:type="dxa"/>
              <w:end w:w="95" w:type="dxa"/>
            </w:tcMar>
          </w:tcPr>
          <w:p>
            <w:pPr>
              <w:spacing w:after="0"/>
            </w:pPr>
            <w:r>
              <w:t xml:space="preserve">DATA</w:t>
            </w:r>
          </w:p>
        </w:tc>
        <w:tc>
          <w:tcPr>
            <w:tcW w:w="0" w:type="auto"/>
            <w:shd w:fill="EEF3F9"/>
            <w:tcMar>
              <w:top w:w="85" w:type="dxa"/>
              <w:start w:w="95" w:type="dxa"/>
              <w:bottom w:w="85" w:type="dxa"/>
              <w:end w:w="95" w:type="dxa"/>
            </w:tcMar>
          </w:tcPr>
          <w:p>
            <w:pPr>
              <w:spacing w:after="0"/>
            </w:pPr>
            <w:r>
              <w:t xml:space="preserve">High</w:t>
            </w:r>
          </w:p>
        </w:tc>
        <w:tc>
          <w:tcPr>
            <w:tcW w:w="0" w:type="auto"/>
            <w:shd w:fill="EEF3F9"/>
            <w:tcMar>
              <w:top w:w="85" w:type="dxa"/>
              <w:start w:w="95" w:type="dxa"/>
              <w:bottom w:w="85" w:type="dxa"/>
              <w:end w:w="95" w:type="dxa"/>
            </w:tcMar>
          </w:tcPr>
          <w:p>
            <w:pPr>
              <w:spacing w:after="0"/>
            </w:pPr>
            <w:r>
              <w:t xml:space="preserve">1.14</w:t>
            </w:r>
          </w:p>
        </w:tc>
        <w:tc>
          <w:tcPr>
            <w:tcW w:w="0" w:type="auto"/>
            <w:shd w:fill="EEF3F9"/>
            <w:tcMar>
              <w:top w:w="85" w:type="dxa"/>
              <w:start w:w="95" w:type="dxa"/>
              <w:bottom w:w="85" w:type="dxa"/>
              <w:end w:w="95" w:type="dxa"/>
            </w:tcMar>
          </w:tcPr>
          <w:p>
            <w:pPr>
              <w:spacing w:after="0"/>
            </w:pPr>
            <w:r>
              <w:t xml:space="preserve">Repositorios con datos voluminosos.</w:t>
            </w:r>
          </w:p>
        </w:tc>
      </w:tr>
      <w:tr>
        <w:tc>
          <w:tcPr>
            <w:tcW w:w="0" w:type="auto"/>
            <w:shd w:fill="FFFFFF"/>
            <w:tcMar>
              <w:top w:w="85" w:type="dxa"/>
              <w:start w:w="95" w:type="dxa"/>
              <w:bottom w:w="85" w:type="dxa"/>
              <w:end w:w="95" w:type="dxa"/>
            </w:tcMar>
          </w:tcPr>
          <w:p>
            <w:pPr>
              <w:spacing w:after="0"/>
            </w:pPr>
            <w:r>
              <w:t xml:space="preserve">CPLX</w:t>
            </w:r>
          </w:p>
        </w:tc>
        <w:tc>
          <w:tcPr>
            <w:tcW w:w="0" w:type="auto"/>
            <w:shd w:fill="FFFFFF"/>
            <w:tcMar>
              <w:top w:w="85" w:type="dxa"/>
              <w:start w:w="95" w:type="dxa"/>
              <w:bottom w:w="85" w:type="dxa"/>
              <w:end w:w="95" w:type="dxa"/>
            </w:tcMar>
          </w:tcPr>
          <w:p>
            <w:pPr>
              <w:spacing w:after="0"/>
            </w:pPr>
            <w:r>
              <w:t xml:space="preserve">High</w:t>
            </w:r>
          </w:p>
        </w:tc>
        <w:tc>
          <w:tcPr>
            <w:tcW w:w="0" w:type="auto"/>
            <w:shd w:fill="FFFFFF"/>
            <w:tcMar>
              <w:top w:w="85" w:type="dxa"/>
              <w:start w:w="95" w:type="dxa"/>
              <w:bottom w:w="85" w:type="dxa"/>
              <w:end w:w="95" w:type="dxa"/>
            </w:tcMar>
          </w:tcPr>
          <w:p>
            <w:pPr>
              <w:spacing w:after="0"/>
            </w:pPr>
            <w:r>
              <w:t xml:space="preserve">1.17</w:t>
            </w:r>
          </w:p>
        </w:tc>
        <w:tc>
          <w:tcPr>
            <w:tcW w:w="0" w:type="auto"/>
            <w:shd w:fill="FFFFFF"/>
            <w:tcMar>
              <w:top w:w="85" w:type="dxa"/>
              <w:start w:w="95" w:type="dxa"/>
              <w:bottom w:w="85" w:type="dxa"/>
              <w:end w:w="95" w:type="dxa"/>
            </w:tcMar>
          </w:tcPr>
          <w:p>
            <w:pPr>
              <w:spacing w:after="0"/>
            </w:pPr>
            <w:r>
              <w:t xml:space="preserve">Complejidad funcional e integración.</w:t>
            </w:r>
          </w:p>
        </w:tc>
      </w:tr>
      <w:tr>
        <w:tc>
          <w:tcPr>
            <w:tcW w:w="0" w:type="auto"/>
            <w:shd w:fill="EEF3F9"/>
            <w:tcMar>
              <w:top w:w="85" w:type="dxa"/>
              <w:start w:w="95" w:type="dxa"/>
              <w:bottom w:w="85" w:type="dxa"/>
              <w:end w:w="95" w:type="dxa"/>
            </w:tcMar>
          </w:tcPr>
          <w:p>
            <w:pPr>
              <w:spacing w:after="0"/>
            </w:pPr>
            <w:r>
              <w:t xml:space="preserve">ACAP</w:t>
            </w:r>
          </w:p>
        </w:tc>
        <w:tc>
          <w:tcPr>
            <w:tcW w:w="0" w:type="auto"/>
            <w:shd w:fill="EEF3F9"/>
            <w:tcMar>
              <w:top w:w="85" w:type="dxa"/>
              <w:start w:w="95" w:type="dxa"/>
              <w:bottom w:w="85" w:type="dxa"/>
              <w:end w:w="95" w:type="dxa"/>
            </w:tcMar>
          </w:tcPr>
          <w:p>
            <w:pPr>
              <w:spacing w:after="0"/>
            </w:pPr>
            <w:r>
              <w:t xml:space="preserve">High</w:t>
            </w:r>
          </w:p>
        </w:tc>
        <w:tc>
          <w:tcPr>
            <w:tcW w:w="0" w:type="auto"/>
            <w:shd w:fill="EEF3F9"/>
            <w:tcMar>
              <w:top w:w="85" w:type="dxa"/>
              <w:start w:w="95" w:type="dxa"/>
              <w:bottom w:w="85" w:type="dxa"/>
              <w:end w:w="95" w:type="dxa"/>
            </w:tcMar>
          </w:tcPr>
          <w:p>
            <w:pPr>
              <w:spacing w:after="0"/>
            </w:pPr>
            <w:r>
              <w:t xml:space="preserve">0.85</w:t>
            </w:r>
          </w:p>
        </w:tc>
        <w:tc>
          <w:tcPr>
            <w:tcW w:w="0" w:type="auto"/>
            <w:shd w:fill="EEF3F9"/>
            <w:tcMar>
              <w:top w:w="85" w:type="dxa"/>
              <w:start w:w="95" w:type="dxa"/>
              <w:bottom w:w="85" w:type="dxa"/>
              <w:end w:w="95" w:type="dxa"/>
            </w:tcMar>
          </w:tcPr>
          <w:p>
            <w:pPr>
              <w:spacing w:after="0"/>
            </w:pPr>
            <w:r>
              <w:t xml:space="preserve">Analistas con alta capacidad.</w:t>
            </w:r>
          </w:p>
        </w:tc>
      </w:tr>
      <w:tr>
        <w:tc>
          <w:tcPr>
            <w:tcW w:w="0" w:type="auto"/>
            <w:shd w:fill="FFFFFF"/>
            <w:tcMar>
              <w:top w:w="85" w:type="dxa"/>
              <w:start w:w="95" w:type="dxa"/>
              <w:bottom w:w="85" w:type="dxa"/>
              <w:end w:w="95" w:type="dxa"/>
            </w:tcMar>
          </w:tcPr>
          <w:p>
            <w:pPr>
              <w:spacing w:after="0"/>
            </w:pPr>
            <w:r>
              <w:t xml:space="preserve">PCAP</w:t>
            </w:r>
          </w:p>
        </w:tc>
        <w:tc>
          <w:tcPr>
            <w:tcW w:w="0" w:type="auto"/>
            <w:shd w:fill="FFFFFF"/>
            <w:tcMar>
              <w:top w:w="85" w:type="dxa"/>
              <w:start w:w="95" w:type="dxa"/>
              <w:bottom w:w="85" w:type="dxa"/>
              <w:end w:w="95" w:type="dxa"/>
            </w:tcMar>
          </w:tcPr>
          <w:p>
            <w:pPr>
              <w:spacing w:after="0"/>
            </w:pPr>
            <w:r>
              <w:t xml:space="preserve">High</w:t>
            </w:r>
          </w:p>
        </w:tc>
        <w:tc>
          <w:tcPr>
            <w:tcW w:w="0" w:type="auto"/>
            <w:shd w:fill="FFFFFF"/>
            <w:tcMar>
              <w:top w:w="85" w:type="dxa"/>
              <w:start w:w="95" w:type="dxa"/>
              <w:bottom w:w="85" w:type="dxa"/>
              <w:end w:w="95" w:type="dxa"/>
            </w:tcMar>
          </w:tcPr>
          <w:p>
            <w:pPr>
              <w:spacing w:after="0"/>
            </w:pPr>
            <w:r>
              <w:t xml:space="preserve">0.88</w:t>
            </w:r>
          </w:p>
        </w:tc>
        <w:tc>
          <w:tcPr>
            <w:tcW w:w="0" w:type="auto"/>
            <w:shd w:fill="FFFFFF"/>
            <w:tcMar>
              <w:top w:w="85" w:type="dxa"/>
              <w:start w:w="95" w:type="dxa"/>
              <w:bottom w:w="85" w:type="dxa"/>
              <w:end w:w="95" w:type="dxa"/>
            </w:tcMar>
          </w:tcPr>
          <w:p>
            <w:pPr>
              <w:spacing w:after="0"/>
            </w:pPr>
            <w:r>
              <w:t xml:space="preserve">Programadores con alta capacidad.</w:t>
            </w:r>
          </w:p>
        </w:tc>
      </w:tr>
      <w:tr>
        <w:tc>
          <w:tcPr>
            <w:tcW w:w="0" w:type="auto"/>
            <w:shd w:fill="EEF3F9"/>
            <w:tcMar>
              <w:top w:w="85" w:type="dxa"/>
              <w:start w:w="95" w:type="dxa"/>
              <w:bottom w:w="85" w:type="dxa"/>
              <w:end w:w="95" w:type="dxa"/>
            </w:tcMar>
          </w:tcPr>
          <w:p>
            <w:pPr>
              <w:spacing w:after="0"/>
            </w:pPr>
            <w:r>
              <w:t xml:space="preserve">TOOL</w:t>
            </w:r>
          </w:p>
        </w:tc>
        <w:tc>
          <w:tcPr>
            <w:tcW w:w="0" w:type="auto"/>
            <w:shd w:fill="EEF3F9"/>
            <w:tcMar>
              <w:top w:w="85" w:type="dxa"/>
              <w:start w:w="95" w:type="dxa"/>
              <w:bottom w:w="85" w:type="dxa"/>
              <w:end w:w="95" w:type="dxa"/>
            </w:tcMar>
          </w:tcPr>
          <w:p>
            <w:pPr>
              <w:spacing w:after="0"/>
            </w:pPr>
            <w:r>
              <w:t xml:space="preserve">High</w:t>
            </w:r>
          </w:p>
        </w:tc>
        <w:tc>
          <w:tcPr>
            <w:tcW w:w="0" w:type="auto"/>
            <w:shd w:fill="EEF3F9"/>
            <w:tcMar>
              <w:top w:w="85" w:type="dxa"/>
              <w:start w:w="95" w:type="dxa"/>
              <w:bottom w:w="85" w:type="dxa"/>
              <w:end w:w="95" w:type="dxa"/>
            </w:tcMar>
          </w:tcPr>
          <w:p>
            <w:pPr>
              <w:spacing w:after="0"/>
            </w:pPr>
            <w:r>
              <w:t xml:space="preserve">0.90</w:t>
            </w:r>
          </w:p>
        </w:tc>
        <w:tc>
          <w:tcPr>
            <w:tcW w:w="0" w:type="auto"/>
            <w:shd w:fill="EEF3F9"/>
            <w:tcMar>
              <w:top w:w="85" w:type="dxa"/>
              <w:start w:w="95" w:type="dxa"/>
              <w:bottom w:w="85" w:type="dxa"/>
              <w:end w:w="95" w:type="dxa"/>
            </w:tcMar>
          </w:tcPr>
          <w:p>
            <w:pPr>
              <w:spacing w:after="0"/>
            </w:pPr>
            <w:r>
              <w:t xml:space="preserve">IDE, CI/CD y herramientas de calidad.</w:t>
            </w:r>
          </w:p>
        </w:tc>
      </w:tr>
    </w:tbl>
    <w:p>
      <w:pPr>
        <w:pStyle w:val="Normal"/>
        <w:spacing w:after="105"/>
      </w:pPr>
      <w:r>
        <w:t xml:space="preserve">Se mantienen </w:t>
      </w:r>
      <w:r>
        <w:rPr>
          <w:b/>
        </w:rPr>
        <w:t xml:space="preserve">Nominal (1.00)</w:t>
      </w:r>
      <w:r>
        <w:t xml:space="preserve"> los demás controladores: RUSE, DOCU, TIME, STOR, PVOL, PCON, APEX, PLEX, LTEX, SITE y </w:t>
      </w:r>
      <w:r>
        <w:rPr>
          <w:b/>
        </w:rPr>
        <w:t xml:space="preserve">SCED</w:t>
      </w:r>
      <w:r>
        <w:t xml:space="preserve"> para el caso base.</w:t>
      </w:r>
    </w:p>
    <w:p>
      <w:pPr>
        <w:pStyle w:val="Heading1"/>
        <w:spacing w:after="105"/>
      </w:pPr>
      <w:r>
        <w:t xml:space="preserve">4. Desarrollo matemático paso a paso</w:t>
      </w:r>
    </w:p>
    <w:p>
      <w:pPr>
        <w:pStyle w:val="Heading2"/>
        <w:spacing w:after="105"/>
      </w:pPr>
      <w:r>
        <w:t xml:space="preserve">4.1 Exponente de escala</w:t>
      </w:r>
    </w:p>
    <w:p>
      <w:pPr>
        <w:pStyle w:val="Normal"/>
        <w:spacing w:after="105"/>
      </w:pPr>
      <w:r>
        <w:t xml:space="preserve"/>
      </w:r>
      <w:r>
        <w:rPr>
          <w:rFonts w:ascii="Consolas" w:hAnsi="Consolas"/>
          <w:color w:val="253858"/>
          <w:sz w:val="18"/>
        </w:rPr>
        <w:t xml:space="preserve">E = 0.91 + 0.01 × ΣSF = 0.91 + 0.1545 = 1.0645</w:t>
      </w:r>
      <w:r>
        <w:t xml:space="preserve">.</w:t>
      </w:r>
    </w:p>
    <w:p>
      <w:pPr>
        <w:pStyle w:val="Heading2"/>
        <w:spacing w:after="105"/>
      </w:pPr>
      <w:r>
        <w:t xml:space="preserve">4.2 Factor multiplicador agregado de esfuerzo</w:t>
      </w:r>
    </w:p>
    <w:p>
      <w:pPr>
        <w:pStyle w:val="Normal"/>
        <w:spacing w:after="105"/>
      </w:pPr>
      <w:r>
        <w:t xml:space="preserve"/>
      </w:r>
      <w:r>
        <w:rPr>
          <w:rFonts w:ascii="Consolas" w:hAnsi="Consolas"/>
          <w:color w:val="253858"/>
          <w:sz w:val="18"/>
        </w:rPr>
        <w:t xml:space="preserve">EAF = 1.10 × 1.14 × 1.17 × 0.85 × 0.88 × 0.90 × 1.00^11</w:t>
      </w:r>
      <w:r>
        <w:t xml:space="preserve"/>
      </w:r>
    </w:p>
    <w:p>
      <w:pPr>
        <w:pStyle w:val="Normal"/>
        <w:spacing w:after="105"/>
      </w:pPr>
      <w:r>
        <w:t xml:space="preserve"/>
      </w:r>
      <w:r>
        <w:rPr>
          <w:rFonts w:ascii="Consolas" w:hAnsi="Consolas"/>
          <w:color w:val="253858"/>
          <w:sz w:val="18"/>
        </w:rPr>
        <w:t xml:space="preserve">EAF = 0.987705576</w:t>
      </w:r>
      <w:r>
        <w:t xml:space="preserve">.</w:t>
      </w:r>
    </w:p>
    <w:p>
      <w:pPr>
        <w:pStyle w:val="Heading2"/>
        <w:spacing w:after="105"/>
      </w:pPr>
      <w:r>
        <w:t xml:space="preserve">4.3 Esfuerzo nominal</w:t>
      </w:r>
    </w:p>
    <w:p>
      <w:pPr>
        <w:pStyle w:val="Normal"/>
        <w:spacing w:after="105"/>
      </w:pPr>
      <w:r>
        <w:t xml:space="preserve"/>
      </w:r>
      <w:r>
        <w:rPr>
          <w:rFonts w:ascii="Consolas" w:hAnsi="Consolas"/>
          <w:color w:val="253858"/>
          <w:sz w:val="18"/>
        </w:rPr>
        <w:t xml:space="preserve">PM_NS = A × (KSLOC)^E × EAF</w:t>
      </w:r>
      <w:r>
        <w:t xml:space="preserve">, con </w:t>
      </w:r>
      <w:r>
        <w:rPr>
          <w:rFonts w:ascii="Consolas" w:hAnsi="Consolas"/>
          <w:color w:val="253858"/>
          <w:sz w:val="18"/>
        </w:rPr>
        <w:t xml:space="preserve">A = 2.94</w:t>
      </w:r>
      <w:r>
        <w:t xml:space="preserve">.</w:t>
      </w:r>
    </w:p>
    <w:p>
      <w:pPr>
        <w:pStyle w:val="Normal"/>
        <w:spacing w:after="105"/>
      </w:pPr>
      <w:r>
        <w:t xml:space="preserve"/>
      </w:r>
      <w:r>
        <w:rPr>
          <w:rFonts w:ascii="Consolas" w:hAnsi="Consolas"/>
          <w:color w:val="253858"/>
          <w:sz w:val="18"/>
        </w:rPr>
        <w:t xml:space="preserve">PM_NS = 2.94 × 15^1.0645 × 0.987705576 = 51.87092363 PM</w:t>
      </w:r>
      <w:r>
        <w:t xml:space="preserve">.</w:t>
      </w:r>
    </w:p>
    <w:p>
      <w:pPr>
        <w:pStyle w:val="Normal"/>
        <w:spacing w:after="105"/>
      </w:pPr>
      <w:r>
        <w:t xml:space="preserve">Por redondeo, el esfuerzo estimado es </w:t>
      </w:r>
      <w:r>
        <w:rPr>
          <w:b/>
        </w:rPr>
        <w:t xml:space="preserve">51.87 personas-mes</w:t>
      </w:r>
      <w:r>
        <w:t xml:space="preserve">.</w:t>
      </w:r>
    </w:p>
    <w:p>
      <w:pPr>
        <w:pStyle w:val="Heading2"/>
        <w:spacing w:after="105"/>
      </w:pPr>
      <w:r>
        <w:t xml:space="preserve">4.4 Exponente y tiempo de desarrollo nominal</w:t>
      </w:r>
    </w:p>
    <w:p>
      <w:pPr>
        <w:pStyle w:val="Normal"/>
        <w:spacing w:after="105"/>
      </w:pPr>
      <w:r>
        <w:t xml:space="preserve"/>
      </w:r>
      <w:r>
        <w:rPr>
          <w:rFonts w:ascii="Consolas" w:hAnsi="Consolas"/>
          <w:color w:val="253858"/>
          <w:sz w:val="18"/>
        </w:rPr>
        <w:t xml:space="preserve">F = D + 0.2 × (E − B)</w:t>
      </w:r>
      <w:r>
        <w:t xml:space="preserve">, con </w:t>
      </w:r>
      <w:r>
        <w:rPr>
          <w:rFonts w:ascii="Consolas" w:hAnsi="Consolas"/>
          <w:color w:val="253858"/>
          <w:sz w:val="18"/>
        </w:rPr>
        <w:t xml:space="preserve">D = 0.28</w:t>
      </w:r>
      <w:r>
        <w:t xml:space="preserve"> y </w:t>
      </w:r>
      <w:r>
        <w:rPr>
          <w:rFonts w:ascii="Consolas" w:hAnsi="Consolas"/>
          <w:color w:val="253858"/>
          <w:sz w:val="18"/>
        </w:rPr>
        <w:t xml:space="preserve">B = 0.91</w:t>
      </w:r>
      <w:r>
        <w:t xml:space="preserve">.</w:t>
      </w:r>
    </w:p>
    <w:p>
      <w:pPr>
        <w:pStyle w:val="Normal"/>
        <w:spacing w:after="105"/>
      </w:pPr>
      <w:r>
        <w:t xml:space="preserve"/>
      </w:r>
      <w:r>
        <w:rPr>
          <w:rFonts w:ascii="Consolas" w:hAnsi="Consolas"/>
          <w:color w:val="253858"/>
          <w:sz w:val="18"/>
        </w:rPr>
        <w:t xml:space="preserve">F = 0.28 + 0.2 × (1.0645 − 0.91) = 0.3109</w:t>
      </w:r>
      <w:r>
        <w:t xml:space="preserve">.</w:t>
      </w:r>
    </w:p>
    <w:p>
      <w:pPr>
        <w:pStyle w:val="Normal"/>
        <w:spacing w:after="105"/>
      </w:pPr>
      <w:r>
        <w:t xml:space="preserve"/>
      </w:r>
      <w:r>
        <w:rPr>
          <w:rFonts w:ascii="Consolas" w:hAnsi="Consolas"/>
          <w:color w:val="253858"/>
          <w:sz w:val="18"/>
        </w:rPr>
        <w:t xml:space="preserve">TDEV_NS = C × (PM_NS)^F</w:t>
      </w:r>
      <w:r>
        <w:t xml:space="preserve">, con </w:t>
      </w:r>
      <w:r>
        <w:rPr>
          <w:rFonts w:ascii="Consolas" w:hAnsi="Consolas"/>
          <w:color w:val="253858"/>
          <w:sz w:val="18"/>
        </w:rPr>
        <w:t xml:space="preserve">C = 3.67</w:t>
      </w:r>
      <w:r>
        <w:t xml:space="preserve">.</w:t>
      </w:r>
    </w:p>
    <w:p>
      <w:pPr>
        <w:pStyle w:val="Normal"/>
        <w:spacing w:after="105"/>
      </w:pPr>
      <w:r>
        <w:t xml:space="preserve"/>
      </w:r>
      <w:r>
        <w:rPr>
          <w:rFonts w:ascii="Consolas" w:hAnsi="Consolas"/>
          <w:color w:val="253858"/>
          <w:sz w:val="18"/>
        </w:rPr>
        <w:t xml:space="preserve">TDEV_NS = 3.67 × (51.87092363)^0.3109 = 12.52667846 meses</w:t>
      </w:r>
      <w:r>
        <w:t xml:space="preserve">.</w:t>
      </w:r>
    </w:p>
    <w:p>
      <w:pPr>
        <w:pStyle w:val="Normal"/>
        <w:spacing w:after="105"/>
      </w:pPr>
      <w:r>
        <w:t xml:space="preserve">Por redondeo, se estiman </w:t>
      </w:r>
      <w:r>
        <w:rPr>
          <w:b/>
        </w:rPr>
        <w:t xml:space="preserve">12.53 meses</w:t>
      </w:r>
      <w:r>
        <w:t xml:space="preserve">.</w:t>
      </w:r>
    </w:p>
    <w:p>
      <w:pPr>
        <w:pStyle w:val="Heading2"/>
        <w:spacing w:after="105"/>
      </w:pPr>
      <w:r>
        <w:t xml:space="preserve">4.5 Equipo promedio nominal</w:t>
      </w:r>
    </w:p>
    <w:p>
      <w:pPr>
        <w:pStyle w:val="Normal"/>
        <w:spacing w:after="105"/>
      </w:pPr>
      <w:r>
        <w:t xml:space="preserve"/>
      </w:r>
      <w:r>
        <w:rPr>
          <w:rFonts w:ascii="Consolas" w:hAnsi="Consolas"/>
          <w:color w:val="253858"/>
          <w:sz w:val="18"/>
        </w:rPr>
        <w:t xml:space="preserve">Equipo_NS = PM_NS / TDEV_NS</w:t>
      </w:r>
      <w:r>
        <w:t xml:space="preserve"/>
      </w:r>
    </w:p>
    <w:p>
      <w:pPr>
        <w:pStyle w:val="Normal"/>
        <w:spacing w:after="105"/>
      </w:pPr>
      <w:r>
        <w:t xml:space="preserve"/>
      </w:r>
      <w:r>
        <w:rPr>
          <w:rFonts w:ascii="Consolas" w:hAnsi="Consolas"/>
          <w:color w:val="253858"/>
          <w:sz w:val="18"/>
        </w:rPr>
        <w:t xml:space="preserve">Equipo_NS = 51.87092363 / 12.52667846 = 4.14083620 FTE</w:t>
      </w:r>
      <w:r>
        <w:t xml:space="preserve">.</w:t>
      </w:r>
    </w:p>
    <w:p>
      <w:pPr>
        <w:pStyle w:val="Normal"/>
        <w:spacing w:after="105"/>
      </w:pPr>
      <w:r>
        <w:t xml:space="preserve">Un FTE representa una persona equivalente a tiempo completo. Para presupuestar capacidad se redondea hacia arriba a </w:t>
      </w:r>
      <w:r>
        <w:rPr>
          <w:b/>
        </w:rPr>
        <w:t xml:space="preserve">5 desarrolladores</w:t>
      </w:r>
      <w:r>
        <w:t xml:space="preserve">, aclarando que las asignaciones reales varían por fase.</w:t>
      </w:r>
    </w:p>
    <w:p>
      <w:pPr>
        <w:pStyle w:val="Heading1"/>
        <w:spacing w:after="105"/>
      </w:pPr>
      <w:r>
        <w:t xml:space="preserve">5. Análisis crítico de SCED Very Low</w:t>
      </w:r>
    </w:p>
    <w:p>
      <w:pPr>
        <w:pStyle w:val="Normal"/>
        <w:spacing w:after="105"/>
      </w:pPr>
      <w:r>
        <w:t xml:space="preserve">Para el escenario acelerado se cambia solamente </w:t>
      </w:r>
      <w:r>
        <w:rPr>
          <w:b/>
        </w:rPr>
        <w:t xml:space="preserve">SCED de Nominal a Very Low</w:t>
      </w:r>
      <w:r>
        <w:t xml:space="preserve">. El modelo COCOMO II asigna:</w:t>
      </w:r>
    </w:p>
    <w:p>
      <w:pPr>
        <w:pStyle w:val="Normal"/>
        <w:spacing w:after="105"/>
      </w:pPr>
      <w:r>
        <w:t xml:space="preserve">• </w:t>
      </w:r>
      <w:r>
        <w:rPr>
          <w:rFonts w:ascii="Consolas" w:hAnsi="Consolas"/>
          <w:color w:val="253858"/>
          <w:sz w:val="18"/>
        </w:rPr>
        <w:t xml:space="preserve">SCED esfuerzo = 1.43</w:t>
      </w:r>
      <w:r>
        <w:t xml:space="preserve">: 43 % más PM.</w:t>
      </w:r>
    </w:p>
    <w:p>
      <w:pPr>
        <w:pStyle w:val="Normal"/>
        <w:spacing w:after="105"/>
      </w:pPr>
      <w:r>
        <w:t xml:space="preserve">• </w:t>
      </w:r>
      <w:r>
        <w:rPr>
          <w:rFonts w:ascii="Consolas" w:hAnsi="Consolas"/>
          <w:color w:val="253858"/>
          <w:sz w:val="18"/>
        </w:rPr>
        <w:t xml:space="preserve">SCED calendario = 0.75</w:t>
      </w:r>
      <w:r>
        <w:t xml:space="preserve">: 75 % de la duración nominal, es decir, 25 % de ahorro de tiempo.</w:t>
      </w:r>
    </w:p>
    <w:p>
      <w:pPr>
        <w:pStyle w:val="Normal"/>
        <w:spacing w:after="105"/>
      </w:pPr>
      <w:r>
        <w:t xml:space="preserve">La fórmula de duración usa </w:t>
      </w:r>
      <w:r>
        <w:rPr>
          <w:b/>
        </w:rPr>
        <w:t xml:space="preserve">PM sin SCED</w:t>
      </w:r>
      <w:r>
        <w:t xml:space="preserve">; después aplica el porcentaje de compresión del calendario, para evitar introducir la penalización de esfuerzo dos veces.</w:t>
      </w:r>
    </w:p>
    <w:p>
      <w:pPr>
        <w:pStyle w:val="Normal"/>
        <w:spacing w:after="105"/>
      </w:pPr>
      <w:r>
        <w:t xml:space="preserve"/>
      </w:r>
      <w:r>
        <w:rPr>
          <w:rFonts w:ascii="Consolas" w:hAnsi="Consolas"/>
          <w:color w:val="253858"/>
          <w:sz w:val="18"/>
        </w:rPr>
        <w:t xml:space="preserve">PM_VL = 51.87092363 × 1.43 = 74.17542079 PM</w:t>
      </w:r>
      <w:r>
        <w:t xml:space="preserve">.</w:t>
      </w:r>
    </w:p>
    <w:p>
      <w:pPr>
        <w:pStyle w:val="Normal"/>
        <w:spacing w:after="105"/>
      </w:pPr>
      <w:r>
        <w:t xml:space="preserve"/>
      </w:r>
      <w:r>
        <w:rPr>
          <w:rFonts w:ascii="Consolas" w:hAnsi="Consolas"/>
          <w:color w:val="253858"/>
          <w:sz w:val="18"/>
        </w:rPr>
        <w:t xml:space="preserve">TDEV_VL = 12.52667846 × 0.75 = 9.39500885 meses</w:t>
      </w:r>
      <w:r>
        <w:t xml:space="preserve">.</w:t>
      </w:r>
    </w:p>
    <w:p>
      <w:pPr>
        <w:pStyle w:val="Normal"/>
        <w:spacing w:after="105"/>
      </w:pPr>
      <w:r>
        <w:t xml:space="preserve"/>
      </w:r>
      <w:r>
        <w:rPr>
          <w:rFonts w:ascii="Consolas" w:hAnsi="Consolas"/>
          <w:color w:val="253858"/>
          <w:sz w:val="18"/>
        </w:rPr>
        <w:t xml:space="preserve">Equipo_VL = 74.17542079 / 9.39500885 = 7.89519435 FTE</w:t>
      </w:r>
      <w:r>
        <w:t xml:space="preserve">.</w:t>
      </w:r>
    </w:p>
    <w:p>
      <w:pPr>
        <w:pStyle w:val="Normal"/>
        <w:spacing w:after="105"/>
      </w:pPr>
      <w:r>
        <w:t xml:space="preserve">El escenario acelerado demanda </w:t>
      </w:r>
      <w:r>
        <w:rPr>
          <w:b/>
        </w:rPr>
        <w:t xml:space="preserve">74.18 PM</w:t>
      </w:r>
      <w:r>
        <w:t xml:space="preserve">, </w:t>
      </w:r>
      <w:r>
        <w:rPr>
          <w:b/>
        </w:rPr>
        <w:t xml:space="preserve">9.40 meses</w:t>
      </w:r>
      <w:r>
        <w:t xml:space="preserve"> y </w:t>
      </w:r>
      <w:r>
        <w:rPr>
          <w:b/>
        </w:rPr>
        <w:t xml:space="preserve">8 desarrolladores</w:t>
      </w:r>
      <w:r>
        <w:t xml:space="preserve"> como recomendación orientativa de contratación.</w:t>
      </w:r>
    </w:p>
    <w:p>
      <w:pPr>
        <w:pStyle w:val="Heading2"/>
        <w:spacing w:after="105"/>
      </w:pPr>
      <w:r>
        <w:t xml:space="preserve">5.1 Comparación de efectos</w:t>
      </w:r>
    </w:p>
    <w:tbl>
      <w:tblPr>
        <w:tblW w:w="5000" w:type="pct"/>
        <w:tblBorders>
          <w:bottom w:val="single" w:sz="4" w:color="9DB5D0"/>
          <w:insideH w:val="single" w:sz="2" w:color="CBD7E3"/>
        </w:tblBorders>
      </w:tblPr>
      <w:tr>
        <w:tc>
          <w:tcPr>
            <w:tcW w:w="0" w:type="auto"/>
            <w:shd w:fill="D5E4F2"/>
            <w:tcMar>
              <w:top w:w="85" w:type="dxa"/>
              <w:start w:w="95" w:type="dxa"/>
              <w:bottom w:w="85" w:type="dxa"/>
              <w:end w:w="95" w:type="dxa"/>
            </w:tcMar>
          </w:tcPr>
          <w:p>
            <w:pPr>
              <w:spacing w:after="0"/>
            </w:pPr>
            <w:r>
              <w:t xml:space="preserve">Medida</w:t>
            </w:r>
          </w:p>
        </w:tc>
        <w:tc>
          <w:tcPr>
            <w:tcW w:w="0" w:type="auto"/>
            <w:shd w:fill="D5E4F2"/>
            <w:tcMar>
              <w:top w:w="85" w:type="dxa"/>
              <w:start w:w="95" w:type="dxa"/>
              <w:bottom w:w="85" w:type="dxa"/>
              <w:end w:w="95" w:type="dxa"/>
            </w:tcMar>
          </w:tcPr>
          <w:p>
            <w:pPr>
              <w:spacing w:after="0"/>
            </w:pPr>
            <w:r>
              <w:t xml:space="preserve">Nominal</w:t>
            </w:r>
          </w:p>
        </w:tc>
        <w:tc>
          <w:tcPr>
            <w:tcW w:w="0" w:type="auto"/>
            <w:shd w:fill="D5E4F2"/>
            <w:tcMar>
              <w:top w:w="85" w:type="dxa"/>
              <w:start w:w="95" w:type="dxa"/>
              <w:bottom w:w="85" w:type="dxa"/>
              <w:end w:w="95" w:type="dxa"/>
            </w:tcMar>
          </w:tcPr>
          <w:p>
            <w:pPr>
              <w:spacing w:after="0"/>
            </w:pPr>
            <w:r>
              <w:t xml:space="preserve">Very Low</w:t>
            </w:r>
          </w:p>
        </w:tc>
        <w:tc>
          <w:tcPr>
            <w:tcW w:w="0" w:type="auto"/>
            <w:shd w:fill="D5E4F2"/>
            <w:tcMar>
              <w:top w:w="85" w:type="dxa"/>
              <w:start w:w="95" w:type="dxa"/>
              <w:bottom w:w="85" w:type="dxa"/>
              <w:end w:w="95" w:type="dxa"/>
            </w:tcMar>
          </w:tcPr>
          <w:p>
            <w:pPr>
              <w:spacing w:after="0"/>
            </w:pPr>
            <w:r>
              <w:t xml:space="preserve">Cambio</w:t>
            </w:r>
          </w:p>
        </w:tc>
      </w:tr>
      <w:tr>
        <w:tc>
          <w:tcPr>
            <w:tcW w:w="0" w:type="auto"/>
            <w:shd w:fill="FFFFFF"/>
            <w:tcMar>
              <w:top w:w="85" w:type="dxa"/>
              <w:start w:w="95" w:type="dxa"/>
              <w:bottom w:w="85" w:type="dxa"/>
              <w:end w:w="95" w:type="dxa"/>
            </w:tcMar>
          </w:tcPr>
          <w:p>
            <w:pPr>
              <w:spacing w:after="0"/>
            </w:pPr>
            <w:r>
              <w:t xml:space="preserve">Esfuerzo PM</w:t>
            </w:r>
          </w:p>
        </w:tc>
        <w:tc>
          <w:tcPr>
            <w:tcW w:w="0" w:type="auto"/>
            <w:shd w:fill="FFFFFF"/>
            <w:tcMar>
              <w:top w:w="85" w:type="dxa"/>
              <w:start w:w="95" w:type="dxa"/>
              <w:bottom w:w="85" w:type="dxa"/>
              <w:end w:w="95" w:type="dxa"/>
            </w:tcMar>
          </w:tcPr>
          <w:p>
            <w:pPr>
              <w:spacing w:after="0"/>
            </w:pPr>
            <w:r>
              <w:t xml:space="preserve">51.87</w:t>
            </w:r>
          </w:p>
        </w:tc>
        <w:tc>
          <w:tcPr>
            <w:tcW w:w="0" w:type="auto"/>
            <w:shd w:fill="FFFFFF"/>
            <w:tcMar>
              <w:top w:w="85" w:type="dxa"/>
              <w:start w:w="95" w:type="dxa"/>
              <w:bottom w:w="85" w:type="dxa"/>
              <w:end w:w="95" w:type="dxa"/>
            </w:tcMar>
          </w:tcPr>
          <w:p>
            <w:pPr>
              <w:spacing w:after="0"/>
            </w:pPr>
            <w:r>
              <w:t xml:space="preserve">74.18</w:t>
            </w:r>
          </w:p>
        </w:tc>
        <w:tc>
          <w:tcPr>
            <w:tcW w:w="0" w:type="auto"/>
            <w:shd w:fill="FFFFFF"/>
            <w:tcMar>
              <w:top w:w="85" w:type="dxa"/>
              <w:start w:w="95" w:type="dxa"/>
              <w:bottom w:w="85" w:type="dxa"/>
              <w:end w:w="95" w:type="dxa"/>
            </w:tcMar>
          </w:tcPr>
          <w:p>
            <w:pPr>
              <w:spacing w:after="0"/>
            </w:pPr>
            <w:r>
              <w:t xml:space="preserve">+22.30 PM (+43 %)</w:t>
            </w:r>
          </w:p>
        </w:tc>
      </w:tr>
      <w:tr>
        <w:tc>
          <w:tcPr>
            <w:tcW w:w="0" w:type="auto"/>
            <w:shd w:fill="EEF3F9"/>
            <w:tcMar>
              <w:top w:w="85" w:type="dxa"/>
              <w:start w:w="95" w:type="dxa"/>
              <w:bottom w:w="85" w:type="dxa"/>
              <w:end w:w="95" w:type="dxa"/>
            </w:tcMar>
          </w:tcPr>
          <w:p>
            <w:pPr>
              <w:spacing w:after="0"/>
            </w:pPr>
            <w:r>
              <w:t xml:space="preserve">Duración meses</w:t>
            </w:r>
          </w:p>
        </w:tc>
        <w:tc>
          <w:tcPr>
            <w:tcW w:w="0" w:type="auto"/>
            <w:shd w:fill="EEF3F9"/>
            <w:tcMar>
              <w:top w:w="85" w:type="dxa"/>
              <w:start w:w="95" w:type="dxa"/>
              <w:bottom w:w="85" w:type="dxa"/>
              <w:end w:w="95" w:type="dxa"/>
            </w:tcMar>
          </w:tcPr>
          <w:p>
            <w:pPr>
              <w:spacing w:after="0"/>
            </w:pPr>
            <w:r>
              <w:t xml:space="preserve">12.53</w:t>
            </w:r>
          </w:p>
        </w:tc>
        <w:tc>
          <w:tcPr>
            <w:tcW w:w="0" w:type="auto"/>
            <w:shd w:fill="EEF3F9"/>
            <w:tcMar>
              <w:top w:w="85" w:type="dxa"/>
              <w:start w:w="95" w:type="dxa"/>
              <w:bottom w:w="85" w:type="dxa"/>
              <w:end w:w="95" w:type="dxa"/>
            </w:tcMar>
          </w:tcPr>
          <w:p>
            <w:pPr>
              <w:spacing w:after="0"/>
            </w:pPr>
            <w:r>
              <w:t xml:space="preserve">9.40</w:t>
            </w:r>
          </w:p>
        </w:tc>
        <w:tc>
          <w:tcPr>
            <w:tcW w:w="0" w:type="auto"/>
            <w:shd w:fill="EEF3F9"/>
            <w:tcMar>
              <w:top w:w="85" w:type="dxa"/>
              <w:start w:w="95" w:type="dxa"/>
              <w:bottom w:w="85" w:type="dxa"/>
              <w:end w:w="95" w:type="dxa"/>
            </w:tcMar>
          </w:tcPr>
          <w:p>
            <w:pPr>
              <w:spacing w:after="0"/>
            </w:pPr>
            <w:r>
              <w:t xml:space="preserve">−3.13 meses (−25 %)</w:t>
            </w:r>
          </w:p>
        </w:tc>
      </w:tr>
      <w:tr>
        <w:tc>
          <w:tcPr>
            <w:tcW w:w="0" w:type="auto"/>
            <w:shd w:fill="FFFFFF"/>
            <w:tcMar>
              <w:top w:w="85" w:type="dxa"/>
              <w:start w:w="95" w:type="dxa"/>
              <w:bottom w:w="85" w:type="dxa"/>
              <w:end w:w="95" w:type="dxa"/>
            </w:tcMar>
          </w:tcPr>
          <w:p>
            <w:pPr>
              <w:spacing w:after="0"/>
            </w:pPr>
            <w:r>
              <w:t xml:space="preserve">Promedio de FTE</w:t>
            </w:r>
          </w:p>
        </w:tc>
        <w:tc>
          <w:tcPr>
            <w:tcW w:w="0" w:type="auto"/>
            <w:shd w:fill="FFFFFF"/>
            <w:tcMar>
              <w:top w:w="85" w:type="dxa"/>
              <w:start w:w="95" w:type="dxa"/>
              <w:bottom w:w="85" w:type="dxa"/>
              <w:end w:w="95" w:type="dxa"/>
            </w:tcMar>
          </w:tcPr>
          <w:p>
            <w:pPr>
              <w:spacing w:after="0"/>
            </w:pPr>
            <w:r>
              <w:t xml:space="preserve">4.14</w:t>
            </w:r>
          </w:p>
        </w:tc>
        <w:tc>
          <w:tcPr>
            <w:tcW w:w="0" w:type="auto"/>
            <w:shd w:fill="FFFFFF"/>
            <w:tcMar>
              <w:top w:w="85" w:type="dxa"/>
              <w:start w:w="95" w:type="dxa"/>
              <w:bottom w:w="85" w:type="dxa"/>
              <w:end w:w="95" w:type="dxa"/>
            </w:tcMar>
          </w:tcPr>
          <w:p>
            <w:pPr>
              <w:spacing w:after="0"/>
            </w:pPr>
            <w:r>
              <w:t xml:space="preserve">7.90</w:t>
            </w:r>
          </w:p>
        </w:tc>
        <w:tc>
          <w:tcPr>
            <w:tcW w:w="0" w:type="auto"/>
            <w:shd w:fill="FFFFFF"/>
            <w:tcMar>
              <w:top w:w="85" w:type="dxa"/>
              <w:start w:w="95" w:type="dxa"/>
              <w:bottom w:w="85" w:type="dxa"/>
              <w:end w:w="95" w:type="dxa"/>
            </w:tcMar>
          </w:tcPr>
          <w:p>
            <w:pPr>
              <w:spacing w:after="0"/>
            </w:pPr>
            <w:r>
              <w:t xml:space="preserve">+3.75 FTE aprox.</w:t>
            </w:r>
          </w:p>
        </w:tc>
      </w:tr>
      <w:tr>
        <w:tc>
          <w:tcPr>
            <w:tcW w:w="0" w:type="auto"/>
            <w:shd w:fill="EEF3F9"/>
            <w:tcMar>
              <w:top w:w="85" w:type="dxa"/>
              <w:start w:w="95" w:type="dxa"/>
              <w:bottom w:w="85" w:type="dxa"/>
              <w:end w:w="95" w:type="dxa"/>
            </w:tcMar>
          </w:tcPr>
          <w:p>
            <w:pPr>
              <w:spacing w:after="0"/>
            </w:pPr>
            <w:r>
              <w:t xml:space="preserve">Personal redondeado</w:t>
            </w:r>
          </w:p>
        </w:tc>
        <w:tc>
          <w:tcPr>
            <w:tcW w:w="0" w:type="auto"/>
            <w:shd w:fill="EEF3F9"/>
            <w:tcMar>
              <w:top w:w="85" w:type="dxa"/>
              <w:start w:w="95" w:type="dxa"/>
              <w:bottom w:w="85" w:type="dxa"/>
              <w:end w:w="95" w:type="dxa"/>
            </w:tcMar>
          </w:tcPr>
          <w:p>
            <w:pPr>
              <w:spacing w:after="0"/>
            </w:pPr>
            <w:r>
              <w:t xml:space="preserve">5</w:t>
            </w:r>
          </w:p>
        </w:tc>
        <w:tc>
          <w:tcPr>
            <w:tcW w:w="0" w:type="auto"/>
            <w:shd w:fill="EEF3F9"/>
            <w:tcMar>
              <w:top w:w="85" w:type="dxa"/>
              <w:start w:w="95" w:type="dxa"/>
              <w:bottom w:w="85" w:type="dxa"/>
              <w:end w:w="95" w:type="dxa"/>
            </w:tcMar>
          </w:tcPr>
          <w:p>
            <w:pPr>
              <w:spacing w:after="0"/>
            </w:pPr>
            <w:r>
              <w:t xml:space="preserve">8</w:t>
            </w:r>
          </w:p>
        </w:tc>
        <w:tc>
          <w:tcPr>
            <w:tcW w:w="0" w:type="auto"/>
            <w:shd w:fill="EEF3F9"/>
            <w:tcMar>
              <w:top w:w="85" w:type="dxa"/>
              <w:start w:w="95" w:type="dxa"/>
              <w:bottom w:w="85" w:type="dxa"/>
              <w:end w:w="95" w:type="dxa"/>
            </w:tcMar>
          </w:tcPr>
          <w:p>
            <w:pPr>
              <w:spacing w:after="0"/>
            </w:pPr>
            <w:r>
              <w:t xml:space="preserve">+3 plazas</w:t>
            </w:r>
          </w:p>
        </w:tc>
      </w:tr>
    </w:tbl>
    <w:p>
      <w:pPr>
        <w:pStyle w:val="Normal"/>
        <w:spacing w:after="105"/>
      </w:pPr>
      <w:r>
        <w:t xml:space="preserve">El costo de acelerar no consiste sólo en contratar más personas. Hay un mayor esfuerzo por coordinación, trabajo paralelo, reuniones, conflictos de integración, automatización y corrección de fallas bajo presión. En un sistema clínico, esas presiones afectan procesos delicados como validación de historia clínica, citas, facturación, control de acceso y privacidad de datos. Por ello, reducir plazos no debe implicar eliminar pruebas ni controles de calidad.</w:t>
      </w:r>
    </w:p>
    <w:p>
      <w:pPr>
        <w:pStyle w:val="Heading2"/>
        <w:spacing w:after="105"/>
      </w:pPr>
      <w:r>
        <w:t xml:space="preserve">5.2 Incremento de costo monetario</w:t>
      </w:r>
    </w:p>
    <w:p>
      <w:pPr>
        <w:pStyle w:val="Normal"/>
        <w:spacing w:after="105"/>
      </w:pPr>
      <w:r>
        <w:t xml:space="preserve">Si </w:t>
      </w:r>
      <w:r>
        <w:rPr>
          <w:rFonts w:ascii="Consolas" w:hAnsi="Consolas"/>
          <w:color w:val="253858"/>
          <w:sz w:val="18"/>
        </w:rPr>
        <w:t xml:space="preserve">R</w:t>
      </w:r>
      <w:r>
        <w:t xml:space="preserve"> es la tarifa efectiva por persona-mes y se mantiene sin cambios:</w:t>
      </w:r>
    </w:p>
    <w:p>
      <w:pPr>
        <w:pStyle w:val="Normal"/>
        <w:spacing w:after="105"/>
      </w:pPr>
      <w:r>
        <w:t xml:space="preserve">• </w:t>
      </w:r>
      <w:r>
        <w:rPr>
          <w:rFonts w:ascii="Consolas" w:hAnsi="Consolas"/>
          <w:color w:val="253858"/>
          <w:sz w:val="18"/>
        </w:rPr>
        <w:t xml:space="preserve">Costo_nominal = 51.87092363 × R</w:t>
      </w:r>
      <w:r>
        <w:t xml:space="preserve">.</w:t>
      </w:r>
    </w:p>
    <w:p>
      <w:pPr>
        <w:pStyle w:val="Normal"/>
        <w:spacing w:after="105"/>
      </w:pPr>
      <w:r>
        <w:t xml:space="preserve">• </w:t>
      </w:r>
      <w:r>
        <w:rPr>
          <w:rFonts w:ascii="Consolas" w:hAnsi="Consolas"/>
          <w:color w:val="253858"/>
          <w:sz w:val="18"/>
        </w:rPr>
        <w:t xml:space="preserve">Costo_acelerado = 74.17542079 × R</w:t>
      </w:r>
      <w:r>
        <w:t xml:space="preserve">.</w:t>
      </w:r>
    </w:p>
    <w:p>
      <w:pPr>
        <w:pStyle w:val="Normal"/>
        <w:spacing w:after="105"/>
      </w:pPr>
      <w:r>
        <w:t xml:space="preserve">• </w:t>
      </w:r>
      <w:r>
        <w:rPr>
          <w:rFonts w:ascii="Consolas" w:hAnsi="Consolas"/>
          <w:color w:val="253858"/>
          <w:sz w:val="18"/>
        </w:rPr>
        <w:t xml:space="preserve">Incremento = 22.30449716 × R</w:t>
      </w:r>
      <w:r>
        <w:t xml:space="preserve">, equivalente a </w:t>
      </w:r>
      <w:r>
        <w:rPr>
          <w:b/>
        </w:rPr>
        <w:t xml:space="preserve">43 %</w:t>
      </w:r>
      <w:r>
        <w:t xml:space="preserve"> del costo laboral nominal.</w:t>
      </w:r>
    </w:p>
    <w:p>
      <w:pPr>
        <w:pStyle w:val="Normal"/>
        <w:spacing w:after="105"/>
      </w:pPr>
      <w:r>
        <w:t xml:space="preserve"/>
      </w:r>
      <w:r>
        <w:rPr>
          <w:b/>
        </w:rPr>
        <w:t xml:space="preserve">No se facilita una tarifa real en el enunciado.</w:t>
      </w:r>
      <w:r>
        <w:t xml:space="preserve"> Como demostración únicamente hipotética, para una tarifa </w:t>
      </w:r>
      <w:r>
        <w:rPr>
          <w:b/>
        </w:rPr>
        <w:t xml:space="preserve">inventada</w:t>
      </w:r>
      <w:r>
        <w:t xml:space="preserve"> de </w:t>
      </w:r>
      <w:r>
        <w:rPr>
          <w:b/>
        </w:rPr>
        <w:t xml:space="preserve">30,000 MXN/PM</w:t>
      </w:r>
      <w:r>
        <w:t xml:space="preserve">:</w:t>
      </w:r>
    </w:p>
    <w:tbl>
      <w:tblPr>
        <w:tblW w:w="5000" w:type="pct"/>
        <w:tblBorders>
          <w:bottom w:val="single" w:sz="4" w:color="9DB5D0"/>
          <w:insideH w:val="single" w:sz="2" w:color="CBD7E3"/>
        </w:tblBorders>
      </w:tblPr>
      <w:tr>
        <w:tc>
          <w:tcPr>
            <w:tcW w:w="0" w:type="auto"/>
            <w:shd w:fill="D5E4F2"/>
            <w:tcMar>
              <w:top w:w="85" w:type="dxa"/>
              <w:start w:w="95" w:type="dxa"/>
              <w:bottom w:w="85" w:type="dxa"/>
              <w:end w:w="95" w:type="dxa"/>
            </w:tcMar>
          </w:tcPr>
          <w:p>
            <w:pPr>
              <w:spacing w:after="0"/>
            </w:pPr>
            <w:r>
              <w:t xml:space="preserve">Caso ilustrativo</w:t>
            </w:r>
          </w:p>
        </w:tc>
        <w:tc>
          <w:tcPr>
            <w:tcW w:w="0" w:type="auto"/>
            <w:shd w:fill="D5E4F2"/>
            <w:tcMar>
              <w:top w:w="85" w:type="dxa"/>
              <w:start w:w="95" w:type="dxa"/>
              <w:bottom w:w="85" w:type="dxa"/>
              <w:end w:w="95" w:type="dxa"/>
            </w:tcMar>
          </w:tcPr>
          <w:p>
            <w:pPr>
              <w:spacing w:after="0"/>
            </w:pPr>
            <w:r>
              <w:t xml:space="preserve">Nominal</w:t>
            </w:r>
          </w:p>
        </w:tc>
        <w:tc>
          <w:tcPr>
            <w:tcW w:w="0" w:type="auto"/>
            <w:shd w:fill="D5E4F2"/>
            <w:tcMar>
              <w:top w:w="85" w:type="dxa"/>
              <w:start w:w="95" w:type="dxa"/>
              <w:bottom w:w="85" w:type="dxa"/>
              <w:end w:w="95" w:type="dxa"/>
            </w:tcMar>
          </w:tcPr>
          <w:p>
            <w:pPr>
              <w:spacing w:after="0"/>
            </w:pPr>
            <w:r>
              <w:t xml:space="preserve">Acelerado</w:t>
            </w:r>
          </w:p>
        </w:tc>
      </w:tr>
      <w:tr>
        <w:tc>
          <w:tcPr>
            <w:tcW w:w="0" w:type="auto"/>
            <w:shd w:fill="FFFFFF"/>
            <w:tcMar>
              <w:top w:w="85" w:type="dxa"/>
              <w:start w:w="95" w:type="dxa"/>
              <w:bottom w:w="85" w:type="dxa"/>
              <w:end w:w="95" w:type="dxa"/>
            </w:tcMar>
          </w:tcPr>
          <w:p>
            <w:pPr>
              <w:spacing w:after="0"/>
            </w:pPr>
            <w:r>
              <w:t xml:space="preserve">Tarifa supuesta</w:t>
            </w:r>
          </w:p>
        </w:tc>
        <w:tc>
          <w:tcPr>
            <w:tcW w:w="0" w:type="auto"/>
            <w:shd w:fill="FFFFFF"/>
            <w:tcMar>
              <w:top w:w="85" w:type="dxa"/>
              <w:start w:w="95" w:type="dxa"/>
              <w:bottom w:w="85" w:type="dxa"/>
              <w:end w:w="95" w:type="dxa"/>
            </w:tcMar>
          </w:tcPr>
          <w:p>
            <w:pPr>
              <w:spacing w:after="0"/>
            </w:pPr>
            <w:r>
              <w:t xml:space="preserve">30,000 MXN/PM</w:t>
            </w:r>
          </w:p>
        </w:tc>
        <w:tc>
          <w:tcPr>
            <w:tcW w:w="0" w:type="auto"/>
            <w:shd w:fill="FFFFFF"/>
            <w:tcMar>
              <w:top w:w="85" w:type="dxa"/>
              <w:start w:w="95" w:type="dxa"/>
              <w:bottom w:w="85" w:type="dxa"/>
              <w:end w:w="95" w:type="dxa"/>
            </w:tcMar>
          </w:tcPr>
          <w:p>
            <w:pPr>
              <w:spacing w:after="0"/>
            </w:pPr>
            <w:r>
              <w:t xml:space="preserve">30,000 MXN/PM</w:t>
            </w:r>
          </w:p>
        </w:tc>
      </w:tr>
      <w:tr>
        <w:tc>
          <w:tcPr>
            <w:tcW w:w="0" w:type="auto"/>
            <w:shd w:fill="EEF3F9"/>
            <w:tcMar>
              <w:top w:w="85" w:type="dxa"/>
              <w:start w:w="95" w:type="dxa"/>
              <w:bottom w:w="85" w:type="dxa"/>
              <w:end w:w="95" w:type="dxa"/>
            </w:tcMar>
          </w:tcPr>
          <w:p>
            <w:pPr>
              <w:spacing w:after="0"/>
            </w:pPr>
            <w:r>
              <w:t xml:space="preserve">Costo laboral</w:t>
            </w:r>
          </w:p>
        </w:tc>
        <w:tc>
          <w:tcPr>
            <w:tcW w:w="0" w:type="auto"/>
            <w:shd w:fill="EEF3F9"/>
            <w:tcMar>
              <w:top w:w="85" w:type="dxa"/>
              <w:start w:w="95" w:type="dxa"/>
              <w:bottom w:w="85" w:type="dxa"/>
              <w:end w:w="95" w:type="dxa"/>
            </w:tcMar>
          </w:tcPr>
          <w:p>
            <w:pPr>
              <w:spacing w:after="0"/>
            </w:pPr>
            <w:r>
              <w:t xml:space="preserve">1,556,127.71 MXN</w:t>
            </w:r>
          </w:p>
        </w:tc>
        <w:tc>
          <w:tcPr>
            <w:tcW w:w="0" w:type="auto"/>
            <w:shd w:fill="EEF3F9"/>
            <w:tcMar>
              <w:top w:w="85" w:type="dxa"/>
              <w:start w:w="95" w:type="dxa"/>
              <w:bottom w:w="85" w:type="dxa"/>
              <w:end w:w="95" w:type="dxa"/>
            </w:tcMar>
          </w:tcPr>
          <w:p>
            <w:pPr>
              <w:spacing w:after="0"/>
            </w:pPr>
            <w:r>
              <w:t xml:space="preserve">2,225,262.62 MXN</w:t>
            </w:r>
          </w:p>
        </w:tc>
      </w:tr>
      <w:tr>
        <w:tc>
          <w:tcPr>
            <w:tcW w:w="0" w:type="auto"/>
            <w:shd w:fill="FFFFFF"/>
            <w:tcMar>
              <w:top w:w="85" w:type="dxa"/>
              <w:start w:w="95" w:type="dxa"/>
              <w:bottom w:w="85" w:type="dxa"/>
              <w:end w:w="95" w:type="dxa"/>
            </w:tcMar>
          </w:tcPr>
          <w:p>
            <w:pPr>
              <w:spacing w:after="0"/>
            </w:pPr>
            <w:r>
              <w:t xml:space="preserve">Incremento respecto al base</w:t>
            </w:r>
          </w:p>
        </w:tc>
        <w:tc>
          <w:tcPr>
            <w:tcW w:w="0" w:type="auto"/>
            <w:shd w:fill="FFFFFF"/>
            <w:tcMar>
              <w:top w:w="85" w:type="dxa"/>
              <w:start w:w="95" w:type="dxa"/>
              <w:bottom w:w="85" w:type="dxa"/>
              <w:end w:w="95" w:type="dxa"/>
            </w:tcMar>
          </w:tcPr>
          <w:p>
            <w:pPr>
              <w:spacing w:after="0"/>
            </w:pPr>
            <w:r>
              <w:t xml:space="preserve">—</w:t>
            </w:r>
          </w:p>
        </w:tc>
        <w:tc>
          <w:tcPr>
            <w:tcW w:w="0" w:type="auto"/>
            <w:shd w:fill="FFFFFF"/>
            <w:tcMar>
              <w:top w:w="85" w:type="dxa"/>
              <w:start w:w="95" w:type="dxa"/>
              <w:bottom w:w="85" w:type="dxa"/>
              <w:end w:w="95" w:type="dxa"/>
            </w:tcMar>
          </w:tcPr>
          <w:p>
            <w:pPr>
              <w:spacing w:after="0"/>
            </w:pPr>
            <w:r>
              <w:t xml:space="preserve">669,134.91 MXN</w:t>
            </w:r>
          </w:p>
        </w:tc>
      </w:tr>
    </w:tbl>
    <w:p>
      <w:pPr>
        <w:pStyle w:val="Normal"/>
        <w:spacing w:after="105"/>
      </w:pPr>
      <w:r>
        <w:t xml:space="preserve">Este ejemplo no representa un presupuesto real. No integra de forma independiente infraestructura, licencias, prestaciones, contingencias ni gastos administrativos.</w:t>
      </w:r>
    </w:p>
    <w:p>
      <w:pPr>
        <w:pStyle w:val="Heading1"/>
        <w:spacing w:after="105"/>
      </w:pPr>
      <w:r>
        <w:t xml:space="preserve">6. Paso a paso en la calculadora</w:t>
      </w:r>
    </w:p>
    <w:p>
      <w:pPr>
        <w:pStyle w:val="Normal"/>
        <w:spacing w:after="105"/>
      </w:pPr>
      <w:r>
        <w:t xml:space="preserve">1. Abrir https://softwarecost.org/tools/COCOMO/.</w:t>
      </w:r>
    </w:p>
    <w:p>
      <w:pPr>
        <w:pStyle w:val="Normal"/>
        <w:spacing w:after="105"/>
      </w:pPr>
      <w:r>
        <w:t xml:space="preserve">2. Seleccionar </w:t>
      </w:r>
      <w:r>
        <w:rPr>
          <w:b/>
        </w:rPr>
        <w:t xml:space="preserve">Source Lines of Code</w:t>
      </w:r>
      <w:r>
        <w:t xml:space="preserve"> e introducir </w:t>
      </w:r>
      <w:r>
        <w:rPr>
          <w:rFonts w:ascii="Consolas" w:hAnsi="Consolas"/>
          <w:color w:val="253858"/>
          <w:sz w:val="18"/>
        </w:rPr>
        <w:t xml:space="preserve">15000</w:t>
      </w:r>
      <w:r>
        <w:t xml:space="preserve"> en </w:t>
      </w:r>
      <w:r>
        <w:rPr>
          <w:b/>
        </w:rPr>
        <w:t xml:space="preserve">New SLOC</w:t>
      </w:r>
      <w:r>
        <w:t xml:space="preserve">.</w:t>
      </w:r>
    </w:p>
    <w:p>
      <w:pPr>
        <w:pStyle w:val="Normal"/>
        <w:spacing w:after="105"/>
      </w:pPr>
      <w:r>
        <w:t xml:space="preserve">3. Elegir PREC Nominal, FLEX High, RESL High, TEAM High y PMAT Nominal.</w:t>
      </w:r>
    </w:p>
    <w:p>
      <w:pPr>
        <w:pStyle w:val="Normal"/>
        <w:spacing w:after="105"/>
      </w:pPr>
      <w:r>
        <w:t xml:space="preserve">4. Configurar RELY High, DATA High, CPLX High, ACAP High, PCAP High, TOOL High.</w:t>
      </w:r>
    </w:p>
    <w:p>
      <w:pPr>
        <w:pStyle w:val="Normal"/>
        <w:spacing w:after="105"/>
      </w:pPr>
      <w:r>
        <w:t xml:space="preserve">5. Mantener el resto en Nominal, incluido SCED, y Maintenance = Off.</w:t>
      </w:r>
    </w:p>
    <w:p>
      <w:pPr>
        <w:pStyle w:val="Normal"/>
        <w:spacing w:after="105"/>
      </w:pPr>
      <w:r>
        <w:t xml:space="preserve">6. Dejar el costo por persona-mes sin completar si no se dispone de la tarifa.</w:t>
      </w:r>
    </w:p>
    <w:p>
      <w:pPr>
        <w:pStyle w:val="Normal"/>
        <w:spacing w:after="105"/>
      </w:pPr>
      <w:r>
        <w:t xml:space="preserve">7. Pulsar </w:t>
      </w:r>
      <w:r>
        <w:rPr>
          <w:b/>
        </w:rPr>
        <w:t xml:space="preserve">Calculate</w:t>
      </w:r>
      <w:r>
        <w:t xml:space="preserve"> y registrar PM, TDEV, EAF y tamaño equivalente. Hacer una captura real.</w:t>
      </w:r>
    </w:p>
    <w:p>
      <w:pPr>
        <w:pStyle w:val="Normal"/>
        <w:spacing w:after="105"/>
      </w:pPr>
      <w:r>
        <w:t xml:space="preserve">8. Cambiar únicamente SCED a Very Low, volver a pulsar Calculate y obtener otra captura real.</w:t>
      </w:r>
    </w:p>
    <w:p>
      <w:pPr>
        <w:pStyle w:val="Normal"/>
        <w:spacing w:after="105"/>
      </w:pPr>
      <w:r>
        <w:t xml:space="preserve"/>
      </w:r>
      <w:r>
        <w:rPr>
          <w:b/>
        </w:rPr>
        <w:t xml:space="preserve">Límite de evidencia:</w:t>
      </w:r>
      <w:r>
        <w:t xml:space="preserve"> la captura de referencia presentada por el estudiante sólo contiene el formulario antes de completarlo, de modo que no se afirma haber verificado los resultados mostrados por el sitio. Los valores expuestos son los del modelo estándar; puede haber diferencias de calibración/redondeo según la implementación del portal.</w:t>
      </w:r>
    </w:p>
    <w:p>
      <w:pPr>
        <w:pStyle w:val="Heading1"/>
        <w:spacing w:after="105"/>
      </w:pPr>
      <w:r>
        <w:t xml:space="preserve">7. Conclusiones</w:t>
      </w:r>
    </w:p>
    <w:p>
      <w:pPr>
        <w:pStyle w:val="Normal"/>
        <w:spacing w:after="105"/>
      </w:pPr>
      <w:r>
        <w:t xml:space="preserve">El caso de estudio requiere aproximadamente </w:t>
      </w:r>
      <w:r>
        <w:rPr>
          <w:b/>
        </w:rPr>
        <w:t xml:space="preserve">51.87 personas-mes</w:t>
      </w:r>
      <w:r>
        <w:t xml:space="preserve"> y </w:t>
      </w:r>
      <w:r>
        <w:rPr>
          <w:b/>
        </w:rPr>
        <w:t xml:space="preserve">12.53 meses</w:t>
      </w:r>
      <w:r>
        <w:t xml:space="preserve"> en condiciones nominales, con un promedio de </w:t>
      </w:r>
      <w:r>
        <w:rPr>
          <w:b/>
        </w:rPr>
        <w:t xml:space="preserve">4.14 FTE</w:t>
      </w:r>
      <w:r>
        <w:t xml:space="preserve"> que puede orientar una dotación inicial de </w:t>
      </w:r>
      <w:r>
        <w:rPr>
          <w:b/>
        </w:rPr>
        <w:t xml:space="preserve">5 desarrolladores</w:t>
      </w:r>
      <w:r>
        <w:t xml:space="preserve">. Cuando el cliente solicita SCED Very Low para entregar antes, el tiempo estimado se reduce a </w:t>
      </w:r>
      <w:r>
        <w:rPr>
          <w:b/>
        </w:rPr>
        <w:t xml:space="preserve">9.40 meses</w:t>
      </w:r>
      <w:r>
        <w:t xml:space="preserve">, pero el esfuerzo aumenta hasta </w:t>
      </w:r>
      <w:r>
        <w:rPr>
          <w:b/>
        </w:rPr>
        <w:t xml:space="preserve">74.18 personas-mes</w:t>
      </w:r>
      <w:r>
        <w:t xml:space="preserve">, con un equipo promedio equivalente a </w:t>
      </w:r>
      <w:r>
        <w:rPr>
          <w:b/>
        </w:rPr>
        <w:t xml:space="preserve">7.90 FTE</w:t>
      </w:r>
      <w:r>
        <w:t xml:space="preserve"> y una dotación orientativa de </w:t>
      </w:r>
      <w:r>
        <w:rPr>
          <w:b/>
        </w:rPr>
        <w:t xml:space="preserve">8 desarrolladores</w:t>
      </w:r>
      <w:r>
        <w:t xml:space="preserve">.</w:t>
      </w:r>
    </w:p>
    <w:p>
      <w:pPr>
        <w:pStyle w:val="Normal"/>
        <w:spacing w:after="105"/>
      </w:pPr>
      <w:r>
        <w:t xml:space="preserve">Esta comparación confirma la principal compensación gerencial: </w:t>
      </w:r>
      <w:r>
        <w:rPr>
          <w:b/>
        </w:rPr>
        <w:t xml:space="preserve">acelerar el calendario puede encarecer considerablemente el esfuerzo</w:t>
      </w:r>
      <w:r>
        <w:t xml:space="preserve">. Se recomienda negociar un cronograma factible por módulos, mantener revisiones de seguridad, realizar pruebas automatizadas, presupuestar los recursos adicionales y actualizar la estimación conforme evolucione el proyecto.</w:t>
      </w:r>
    </w:p>
    <w:p>
      <w:pPr>
        <w:pStyle w:val="Heading1"/>
        <w:spacing w:after="105"/>
      </w:pPr>
      <w:r>
        <w:t xml:space="preserve">8. Referencias</w:t>
      </w:r>
    </w:p>
    <w:p>
      <w:pPr>
        <w:pStyle w:val="Normal"/>
        <w:spacing w:after="105"/>
      </w:pPr>
      <w:r>
        <w:t xml:space="preserve">1. USC Center for Software Engineering, *COCOMO II Model Definition Manual*. https://personal.utdallas.edu/~John.Cole/CoCoMo2.pdf</w:t>
      </w:r>
    </w:p>
    <w:p>
      <w:pPr>
        <w:pStyle w:val="Normal"/>
        <w:spacing w:after="105"/>
      </w:pPr>
      <w:r>
        <w:t xml:space="preserve">2. Ray Madachy, *COCOMO II - Constructive Cost Model*. https://softwarecost.org/tools/COCOMO/</w:t>
      </w:r>
    </w:p>
    <w:p>
      <w:pPr>
        <w:pStyle w:val="Normal"/>
        <w:spacing w:after="105"/>
      </w:pPr>
      <w:r>
        <w:t xml:space="preserve">3. *COCOMO Quick Reference*, Software Effort Estimation Course. https://dvwl.github.io/software-effort-estimation-course/references/cocomo-reference.html</w:t>
      </w:r>
    </w:p>
    <w:sectPr>
      <w:headerReference w:type="default" r:id="rId2"/>
      <w:footerReference w:type="default" r:id="rId3"/>
      <w:pgSz w:w="12240" w:h="15840"/>
      <w:pgMar w:top="1250" w:right="1100" w:bottom="1050" w:left="1100" w:header="400" w:footer="400"/>
    </w:sectPr>
  </w:body>
</w:document>
</file>

<file path=word/footer1.xml><?xml version="1.0" encoding="utf-8"?>
<w:ftr xmlns:w="http://schemas.openxmlformats.org/wordprocessingml/2006/main">
  <w:p>
    <w:pPr>
      <w:jc w:val="center"/>
    </w:pPr>
    <w:r>
      <w:rPr>
        <w:color w:val="667F9C"/>
        <w:sz w:val="16"/>
      </w:rPr>
      <w:t>UPBC · Estimación de Software · Peyman Miandashti · Página </w:t>
    </w:r>
    <w:fldSimple w:instr="PAGE"/>
  </w:p>
</w:ftr>
</file>

<file path=word/header1.xml><?xml version="1.0" encoding="utf-8"?>
<w:hdr xmlns:w="http://schemas.openxmlformats.org/wordprocessingml/2006/main">
  <w:p>
    <w:pPr>
      <w:pBdr>
        <w:bottom w:val="single" w:sz="6" w:color="2A5585"/>
      </w:pBdr>
    </w:pPr>
    <w:r>
      <w:rPr>
        <w:b/>
        <w:color w:val="2A5585"/>
        <w:sz w:val="17"/>
      </w:rPr>
      <w:t>UNIVERSIDAD POLITÉCNICA DE BAJA CALIFORNIA · COCOMO II</w:t>
    </w:r>
  </w:p>
</w:hdr>
</file>

<file path=word/styles.xml><?xml version="1.0" encoding="utf-8"?>
<w:styles xmlns:w="http://schemas.openxmlformats.org/wordprocessingml/2006/main">
  <w:docDefaults>
    <w:rPrDefault>
      <w:rPr>
        <w:rFonts w:ascii="Aptos" w:hAnsi="Aptos"/>
        <w:sz w:val="20"/>
        <w:color w:val="253858"/>
      </w:rPr>
    </w:rPrDefault>
  </w:docDefaults>
  <w:style w:type="paragraph" w:default="1" w:styleId="Normal">
    <w:name w:val="Normal"/>
    <w:pPr>
      <w:spacing w:after="110"/>
    </w:pPr>
  </w:style>
  <w:style w:type="paragraph" w:styleId="Title">
    <w:name w:val="Title"/>
    <w:pPr>
      <w:spacing w:before="180" w:after="150"/>
    </w:pPr>
    <w:rPr>
      <w:b/>
      <w:color w:val="2A5585"/>
      <w:sz w:val="32"/>
    </w:rPr>
  </w:style>
  <w:style w:type="paragraph" w:styleId="Heading1">
    <w:name w:val="heading 1"/>
    <w:basedOn w:val="Normal"/>
    <w:pPr>
      <w:keepNext/>
      <w:spacing w:before="220" w:after="130"/>
    </w:pPr>
    <w:rPr>
      <w:b/>
      <w:color w:val="2A5585"/>
      <w:sz w:val="27"/>
    </w:rPr>
  </w:style>
  <w:style w:type="paragraph" w:styleId="Heading2">
    <w:name w:val="heading 2"/>
    <w:basedOn w:val="Normal"/>
    <w:pPr>
      <w:keepNext/>
      <w:spacing w:before="170" w:after="110"/>
    </w:pPr>
    <w:rPr>
      <w:b/>
      <w:color w:val="2A5585"/>
      <w:sz w:val="2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COCOMO II - Sistema Hospitalario</dc:title>
  <dc:creator>Peyman Miandashti</dc:creator>
</cp:coreProperties>
</file>