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r>
        <w:rPr>
          <w:rFonts w:hint="eastAsia"/>
          <w:b/>
          <w:bCs/>
          <w:sz w:val="44"/>
          <w:szCs w:val="44"/>
        </w:rPr>
        <w:t>中华人民共和国环境影响评价法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right="0" w:firstLine="480" w:firstLineChars="200"/>
        <w:jc w:val="both"/>
        <w:textAlignment w:val="auto"/>
        <w:rPr>
          <w:rFonts w:ascii="微软雅黑" w:hAnsi="微软雅黑" w:eastAsia="微软雅黑" w:cs="微软雅黑"/>
          <w:color w:val="333333"/>
          <w:sz w:val="24"/>
          <w:szCs w:val="24"/>
          <w:u w:val="single" w:color="FFFFFF" w:themeColor="background1"/>
        </w:rPr>
      </w:pPr>
      <w:r>
        <w:rPr>
          <w:rFonts w:hint="eastAsia" w:ascii="微软雅黑" w:hAnsi="微软雅黑" w:eastAsia="微软雅黑" w:cs="微软雅黑"/>
          <w:color w:val="333333"/>
          <w:sz w:val="24"/>
          <w:szCs w:val="24"/>
          <w:u w:val="single" w:color="FFFFFF" w:themeColor="background1"/>
          <w:bdr w:val="none" w:color="auto" w:sz="0" w:space="0"/>
        </w:rPr>
        <w:t>(2002年10月28日第九届全国人民代表大会常务委员会第三十次会议通过</w:t>
      </w:r>
      <w:r>
        <w:rPr>
          <w:rFonts w:hint="eastAsia" w:ascii="微软雅黑" w:hAnsi="微软雅黑" w:eastAsia="微软雅黑" w:cs="微软雅黑"/>
          <w:color w:val="333333"/>
          <w:sz w:val="24"/>
          <w:szCs w:val="24"/>
          <w:u w:val="single" w:color="FFFFFF" w:themeColor="background1"/>
          <w:bdr w:val="none" w:color="auto" w:sz="0" w:space="0"/>
          <w:lang w:val="en-US" w:eastAsia="zh-CN"/>
        </w:rPr>
        <w:t xml:space="preserve">  </w:t>
      </w:r>
      <w:r>
        <w:rPr>
          <w:rFonts w:hint="eastAsia" w:ascii="微软雅黑" w:hAnsi="微软雅黑" w:eastAsia="微软雅黑" w:cs="微软雅黑"/>
          <w:color w:val="333333"/>
          <w:sz w:val="24"/>
          <w:szCs w:val="24"/>
          <w:u w:val="single" w:color="FFFFFF" w:themeColor="background1"/>
          <w:bdr w:val="none" w:color="auto" w:sz="0" w:space="0"/>
        </w:rPr>
        <w:t>根据2016年7月2日第十二届全国人民代表大会常务委员会第二十一次会议《关于修改&lt;中华人民共和国节约</w:t>
      </w:r>
      <w:r>
        <w:rPr>
          <w:rFonts w:hint="eastAsia" w:ascii="微软雅黑" w:hAnsi="微软雅黑" w:eastAsia="微软雅黑" w:cs="微软雅黑"/>
          <w:color w:val="0F77F4"/>
          <w:sz w:val="24"/>
          <w:szCs w:val="24"/>
          <w:u w:val="single" w:color="FFFFFF" w:themeColor="background1"/>
          <w:bdr w:val="none" w:color="auto" w:sz="0" w:space="0"/>
        </w:rPr>
        <w:fldChar w:fldCharType="begin"/>
      </w:r>
      <w:r>
        <w:rPr>
          <w:rFonts w:hint="eastAsia" w:ascii="微软雅黑" w:hAnsi="微软雅黑" w:eastAsia="微软雅黑" w:cs="微软雅黑"/>
          <w:color w:val="0F77F4"/>
          <w:sz w:val="24"/>
          <w:szCs w:val="24"/>
          <w:u w:val="single" w:color="FFFFFF" w:themeColor="background1"/>
          <w:bdr w:val="none" w:color="auto" w:sz="0" w:space="0"/>
        </w:rPr>
        <w:instrText xml:space="preserve"> HYPERLINK "http://www.energy.hc360.com/" \t "http://info.water.hc360.com/2019/01/_blank" </w:instrText>
      </w:r>
      <w:r>
        <w:rPr>
          <w:rFonts w:hint="eastAsia" w:ascii="微软雅黑" w:hAnsi="微软雅黑" w:eastAsia="微软雅黑" w:cs="微软雅黑"/>
          <w:color w:val="0F77F4"/>
          <w:sz w:val="24"/>
          <w:szCs w:val="24"/>
          <w:u w:val="single" w:color="FFFFFF" w:themeColor="background1"/>
          <w:bdr w:val="none" w:color="auto" w:sz="0" w:space="0"/>
        </w:rPr>
        <w:fldChar w:fldCharType="separate"/>
      </w:r>
      <w:r>
        <w:rPr>
          <w:rStyle w:val="7"/>
          <w:rFonts w:hint="eastAsia" w:ascii="微软雅黑" w:hAnsi="微软雅黑" w:eastAsia="微软雅黑" w:cs="微软雅黑"/>
          <w:color w:val="0F77F4"/>
          <w:sz w:val="24"/>
          <w:szCs w:val="24"/>
          <w:u w:val="single" w:color="FFFFFF" w:themeColor="background1"/>
          <w:bdr w:val="none" w:color="auto" w:sz="0" w:space="0"/>
        </w:rPr>
        <w:t>能源</w:t>
      </w:r>
      <w:r>
        <w:rPr>
          <w:rFonts w:hint="eastAsia" w:ascii="微软雅黑" w:hAnsi="微软雅黑" w:eastAsia="微软雅黑" w:cs="微软雅黑"/>
          <w:color w:val="0F77F4"/>
          <w:sz w:val="24"/>
          <w:szCs w:val="24"/>
          <w:u w:val="single" w:color="FFFFFF" w:themeColor="background1"/>
          <w:bdr w:val="none" w:color="auto" w:sz="0" w:space="0"/>
        </w:rPr>
        <w:fldChar w:fldCharType="end"/>
      </w:r>
      <w:r>
        <w:rPr>
          <w:rFonts w:hint="eastAsia" w:ascii="微软雅黑" w:hAnsi="微软雅黑" w:eastAsia="微软雅黑" w:cs="微软雅黑"/>
          <w:color w:val="333333"/>
          <w:sz w:val="24"/>
          <w:szCs w:val="24"/>
          <w:u w:val="single" w:color="FFFFFF" w:themeColor="background1"/>
          <w:bdr w:val="none" w:color="auto" w:sz="0" w:space="0"/>
        </w:rPr>
        <w:t>法&gt;等六部法律的决定》修正</w:t>
      </w:r>
      <w:r>
        <w:rPr>
          <w:rFonts w:hint="eastAsia" w:ascii="微软雅黑" w:hAnsi="微软雅黑" w:eastAsia="微软雅黑" w:cs="微软雅黑"/>
          <w:color w:val="333333"/>
          <w:sz w:val="24"/>
          <w:szCs w:val="24"/>
          <w:u w:val="single" w:color="FFFFFF" w:themeColor="background1"/>
          <w:bdr w:val="none" w:color="auto" w:sz="0" w:space="0"/>
          <w:lang w:val="en-US" w:eastAsia="zh-CN"/>
        </w:rPr>
        <w:t xml:space="preserve">  </w:t>
      </w:r>
      <w:r>
        <w:rPr>
          <w:rFonts w:hint="eastAsia" w:ascii="微软雅黑" w:hAnsi="微软雅黑" w:eastAsia="微软雅黑" w:cs="微软雅黑"/>
          <w:color w:val="333333"/>
          <w:sz w:val="24"/>
          <w:szCs w:val="24"/>
          <w:u w:val="single" w:color="FFFFFF" w:themeColor="background1"/>
          <w:bdr w:val="none" w:color="auto" w:sz="0" w:space="0"/>
        </w:rPr>
        <w:t>根据2018年12月29日第十三届全国人民代表大会常务委员会第七次会议《关于修改&lt;中华人民共和国劳动法&gt;等七部法律的决定》</w:t>
      </w:r>
      <w:r>
        <w:rPr>
          <w:rFonts w:hint="eastAsia" w:ascii="微软雅黑" w:hAnsi="微软雅黑" w:eastAsia="微软雅黑" w:cs="微软雅黑"/>
          <w:color w:val="333333"/>
          <w:sz w:val="24"/>
          <w:szCs w:val="24"/>
          <w:u w:val="single" w:color="FFFFFF" w:themeColor="background1"/>
          <w:bdr w:val="none" w:color="auto" w:sz="0" w:space="0"/>
          <w:lang w:eastAsia="zh-CN"/>
        </w:rPr>
        <w:t>第二次</w:t>
      </w:r>
      <w:r>
        <w:rPr>
          <w:rFonts w:hint="eastAsia" w:ascii="微软雅黑" w:hAnsi="微软雅黑" w:eastAsia="微软雅黑" w:cs="微软雅黑"/>
          <w:color w:val="333333"/>
          <w:sz w:val="24"/>
          <w:szCs w:val="24"/>
          <w:u w:val="single" w:color="FFFFFF" w:themeColor="background1"/>
          <w:bdr w:val="none" w:color="auto" w:sz="0" w:space="0"/>
        </w:rPr>
        <w:t xml:space="preserve">修正)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微软雅黑" w:hAnsi="微软雅黑" w:eastAsia="微软雅黑" w:cs="微软雅黑"/>
          <w:color w:val="333333"/>
          <w:sz w:val="24"/>
          <w:szCs w:val="24"/>
          <w:u w:val="none"/>
        </w:rPr>
      </w:pPr>
      <w:r>
        <w:rPr>
          <w:rStyle w:val="5"/>
          <w:rFonts w:hint="eastAsia" w:ascii="微软雅黑" w:hAnsi="微软雅黑" w:eastAsia="微软雅黑" w:cs="微软雅黑"/>
          <w:color w:val="333333"/>
          <w:sz w:val="24"/>
          <w:szCs w:val="24"/>
          <w:u w:val="none"/>
          <w:bdr w:val="none" w:color="auto" w:sz="0" w:space="0"/>
        </w:rPr>
        <w:t>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宋体" w:hAnsi="宋体" w:eastAsia="宋体" w:cs="宋体"/>
          <w:b w:val="0"/>
          <w:bCs/>
          <w:color w:val="333333"/>
          <w:sz w:val="24"/>
          <w:szCs w:val="24"/>
          <w:u w:val="none"/>
        </w:rPr>
      </w:pPr>
      <w:r>
        <w:rPr>
          <w:rStyle w:val="5"/>
          <w:rFonts w:hint="eastAsia" w:ascii="宋体" w:hAnsi="宋体" w:eastAsia="宋体" w:cs="宋体"/>
          <w:b w:val="0"/>
          <w:bCs/>
          <w:color w:val="333333"/>
          <w:sz w:val="24"/>
          <w:szCs w:val="24"/>
          <w:u w:val="none"/>
          <w:bdr w:val="none" w:color="auto" w:sz="0" w:space="0"/>
        </w:rPr>
        <w:t>第一章 总则</w:t>
      </w:r>
      <w:r>
        <w:rPr>
          <w:rFonts w:hint="eastAsia" w:ascii="宋体" w:hAnsi="宋体" w:eastAsia="宋体" w:cs="宋体"/>
          <w:b w:val="0"/>
          <w:bCs/>
          <w:color w:val="333333"/>
          <w:sz w:val="24"/>
          <w:szCs w:val="24"/>
          <w:u w:val="none"/>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宋体" w:hAnsi="宋体" w:eastAsia="宋体" w:cs="宋体"/>
          <w:b w:val="0"/>
          <w:bCs/>
          <w:color w:val="333333"/>
          <w:sz w:val="24"/>
          <w:szCs w:val="24"/>
          <w:u w:val="none"/>
        </w:rPr>
      </w:pPr>
      <w:r>
        <w:rPr>
          <w:rStyle w:val="5"/>
          <w:rFonts w:hint="eastAsia" w:ascii="宋体" w:hAnsi="宋体" w:eastAsia="宋体" w:cs="宋体"/>
          <w:b w:val="0"/>
          <w:bCs/>
          <w:color w:val="333333"/>
          <w:sz w:val="24"/>
          <w:szCs w:val="24"/>
          <w:u w:val="none"/>
          <w:bdr w:val="none" w:color="auto" w:sz="0" w:space="0"/>
        </w:rPr>
        <w:t>第二章 规划的环境影响评价</w:t>
      </w:r>
      <w:r>
        <w:rPr>
          <w:rFonts w:hint="eastAsia" w:ascii="宋体" w:hAnsi="宋体" w:eastAsia="宋体" w:cs="宋体"/>
          <w:b w:val="0"/>
          <w:bCs/>
          <w:color w:val="333333"/>
          <w:sz w:val="24"/>
          <w:szCs w:val="24"/>
          <w:u w:val="none"/>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宋体" w:hAnsi="宋体" w:eastAsia="宋体" w:cs="宋体"/>
          <w:b w:val="0"/>
          <w:bCs/>
          <w:color w:val="333333"/>
          <w:sz w:val="24"/>
          <w:szCs w:val="24"/>
          <w:u w:val="none"/>
        </w:rPr>
      </w:pPr>
      <w:r>
        <w:rPr>
          <w:rStyle w:val="5"/>
          <w:rFonts w:hint="eastAsia" w:ascii="宋体" w:hAnsi="宋体" w:eastAsia="宋体" w:cs="宋体"/>
          <w:b w:val="0"/>
          <w:bCs/>
          <w:color w:val="333333"/>
          <w:sz w:val="24"/>
          <w:szCs w:val="24"/>
          <w:u w:val="none"/>
          <w:bdr w:val="none" w:color="auto" w:sz="0" w:space="0"/>
        </w:rPr>
        <w:t>第三章 建设项目的环境影响评价</w:t>
      </w:r>
      <w:r>
        <w:rPr>
          <w:rFonts w:hint="eastAsia" w:ascii="宋体" w:hAnsi="宋体" w:eastAsia="宋体" w:cs="宋体"/>
          <w:b w:val="0"/>
          <w:bCs/>
          <w:color w:val="333333"/>
          <w:sz w:val="24"/>
          <w:szCs w:val="24"/>
          <w:u w:val="none"/>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宋体" w:hAnsi="宋体" w:eastAsia="宋体" w:cs="宋体"/>
          <w:b w:val="0"/>
          <w:bCs/>
          <w:color w:val="333333"/>
          <w:sz w:val="24"/>
          <w:szCs w:val="24"/>
          <w:u w:val="none"/>
        </w:rPr>
      </w:pPr>
      <w:r>
        <w:rPr>
          <w:rStyle w:val="5"/>
          <w:rFonts w:hint="eastAsia" w:ascii="宋体" w:hAnsi="宋体" w:eastAsia="宋体" w:cs="宋体"/>
          <w:b w:val="0"/>
          <w:bCs/>
          <w:color w:val="333333"/>
          <w:sz w:val="24"/>
          <w:szCs w:val="24"/>
          <w:u w:val="none"/>
          <w:bdr w:val="none" w:color="auto" w:sz="0" w:space="0"/>
        </w:rPr>
        <w:t>第四章 法律责任</w:t>
      </w:r>
      <w:r>
        <w:rPr>
          <w:rFonts w:hint="eastAsia" w:ascii="宋体" w:hAnsi="宋体" w:eastAsia="宋体" w:cs="宋体"/>
          <w:b w:val="0"/>
          <w:bCs/>
          <w:color w:val="333333"/>
          <w:sz w:val="24"/>
          <w:szCs w:val="24"/>
          <w:u w:val="none"/>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宋体" w:hAnsi="宋体" w:eastAsia="宋体" w:cs="宋体"/>
          <w:b w:val="0"/>
          <w:bCs/>
          <w:color w:val="333333"/>
          <w:sz w:val="24"/>
          <w:szCs w:val="24"/>
          <w:u w:val="none"/>
        </w:rPr>
      </w:pPr>
      <w:r>
        <w:rPr>
          <w:rStyle w:val="5"/>
          <w:rFonts w:hint="eastAsia" w:ascii="宋体" w:hAnsi="宋体" w:eastAsia="宋体" w:cs="宋体"/>
          <w:b w:val="0"/>
          <w:bCs/>
          <w:color w:val="333333"/>
          <w:sz w:val="24"/>
          <w:szCs w:val="24"/>
          <w:u w:val="none"/>
          <w:bdr w:val="none" w:color="auto" w:sz="0" w:space="0"/>
        </w:rPr>
        <w:t>第五章 附则</w:t>
      </w:r>
      <w:r>
        <w:rPr>
          <w:rFonts w:hint="eastAsia" w:ascii="宋体" w:hAnsi="宋体" w:eastAsia="宋体" w:cs="宋体"/>
          <w:b w:val="0"/>
          <w:bCs/>
          <w:color w:val="333333"/>
          <w:sz w:val="24"/>
          <w:szCs w:val="24"/>
          <w:u w:val="none"/>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hint="eastAsia" w:ascii="微软雅黑" w:hAnsi="微软雅黑" w:eastAsia="微软雅黑" w:cs="微软雅黑"/>
          <w:color w:val="333333"/>
          <w:sz w:val="24"/>
          <w:szCs w:val="24"/>
          <w:u w:val="none"/>
        </w:rPr>
      </w:pPr>
      <w:r>
        <w:rPr>
          <w:rStyle w:val="5"/>
          <w:rFonts w:hint="eastAsia" w:ascii="微软雅黑" w:hAnsi="微软雅黑" w:eastAsia="微软雅黑" w:cs="微软雅黑"/>
          <w:color w:val="333333"/>
          <w:sz w:val="24"/>
          <w:szCs w:val="24"/>
          <w:u w:val="none"/>
          <w:bdr w:val="none" w:color="auto" w:sz="0" w:space="0"/>
        </w:rPr>
        <w:t>第一章 总则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bookmarkStart w:id="2" w:name="_GoBack"/>
      <w:r>
        <w:rPr>
          <w:rFonts w:hint="eastAsia" w:ascii="微软雅黑" w:hAnsi="微软雅黑" w:eastAsia="微软雅黑" w:cs="微软雅黑"/>
          <w:color w:val="333333"/>
          <w:sz w:val="24"/>
          <w:szCs w:val="24"/>
          <w:u w:val="none"/>
          <w:bdr w:val="none" w:color="auto" w:sz="0" w:space="0"/>
        </w:rPr>
        <w:t xml:space="preserve">第一条为了实施可持续发展战略，预防因规划和建设项目实施后对环境造成不良影响，促进经济、社会和环境的协调发展，制定本法。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第二条本法所称环境影响评价，是指对规划和建设项目实施后可能造成的环境影响进行分析、预测和评估，提出预防或者减轻不良环境影响的对策和措施，进行跟踪监测的方法与制度。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第三条编制本法第九条所规定的范围内的规划，在中华人民共和国领域和中华人民共和国管辖的其他海域内建设对环境有影响的项目，应当依照本法进行环境影响评价。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第四条环境影响评价必须客观、公开、公正，综合考虑规划或者建设项目实施后对各种环境因素及其所构成的生态系统可能造成的影响，为决策提供科学依据。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第五条国家鼓励有关单位、专家和公众以适当方式参与环境影响评价。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第六条国家加强环境影响评价的基础数据库和评价指标体系建设，鼓励和支持对环境影响评价的方法、技术规范进行科学研究，建立必要的环境影响评价信息共享制度，提高环境影响评价的科学性。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国务院生态环境主管部门应当会同国务院有关部门，组织建立和完善环境影响评价的基础数据库和评价指标体系。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Style w:val="5"/>
          <w:rFonts w:hint="eastAsia" w:ascii="微软雅黑" w:hAnsi="微软雅黑" w:eastAsia="微软雅黑" w:cs="微软雅黑"/>
          <w:color w:val="333333"/>
          <w:sz w:val="24"/>
          <w:szCs w:val="24"/>
          <w:u w:val="none"/>
          <w:bdr w:val="none" w:color="auto" w:sz="0" w:space="0"/>
        </w:rPr>
        <w:t>第二章 规划的环境影响评价</w:t>
      </w:r>
      <w:r>
        <w:rPr>
          <w:rFonts w:hint="eastAsia" w:ascii="微软雅黑" w:hAnsi="微软雅黑" w:eastAsia="微软雅黑" w:cs="微软雅黑"/>
          <w:color w:val="333333"/>
          <w:sz w:val="24"/>
          <w:szCs w:val="24"/>
          <w:u w:val="none"/>
          <w:bdr w:val="none" w:color="auto" w:sz="0" w:space="0"/>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七条国务院有关部门、设区的市级以上地方人民政府及其有关部门，对其组织编制的土地利用的有关规划，区域、流域、海域的建设、开发利用规划，应当在规划编制过程中组织进行环境影响评价，编写该规划有关环境影响的篇章或者说明。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规划有关环境影响的篇章或者说明，应当对规划实施后可能造成的环境影响作出分析、预测和评估，提出预防或者减轻不良环境影响的对策和措施，作为规划草案的组成部分一并报送规划审批机关。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未编写有关环境影响的篇章或者说明的规划草案，审批机关不予审批。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八条国务院有关部门、设区的市级以上地方人民政府及其有关部门，对其组织编制的工业、农业、畜牧业、林业、能源、水利、交通、城市建设、旅游、自然资源开发的有关专项规划(以下简称专项规划)，应当在该专项规划草案上报审批前，组织进行环境影响评价，并向审批该专项规划的机关提出环境影响报告书。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前款所列专项规划中的指导性规划，按照本法第七条的规定进行环境影响评价。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第九条依照本法第七条、第八条的规定进行环境影响评价的规划的具体范围，由国务院生态环境主管部门会同国务院有关部门规定，报国务院批准。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第十条专项规划的环境影响报告书应当包括下列内容: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(一)实施该规划对环境可能造成影响的分析、预测和评估;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(二)预防或者减轻不良环境影响的对策和措施;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(三)环境影响评价的结论。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十一条专项规划的编制机关对可能造成不良环境影响并直接涉及公众环境权益的规划，应当在该规划草案报送审批前，举行论证会、听证会，或者采取其他形式，征求有关单位、专家和公众对环境影响报告书草案的意见。但是，国家规定需要保密的情形除外。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编制机关应当认真考虑有关单位、专家和公众对环境影响报告书草案的意见，并应当在报送审查的环境影响报告书中附具对意见采纳或者不采纳的说明。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第十二条专项规划的编制机关在报批规划草案时，应当将环境影响报告书一并附送审批机关审查;未附送环境影响报告书的，审批机关不予审批。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十三条设区的市级以上人民政府在审批专项规划草案，作出决策前，应当先由人民政府指定的生态环境主管部门或者其他部门召集有关部门代表和专家组成审查小组，对环境影响报告书进行审查。审查小组应当提出书面审查意见。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参加前款规定的审查小组的专家，应当从按照国务院生态环境主管部门的规定设立的专家库内的相关专业的专家名单中，以随机抽取的方式确定。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由省级以上人民政府有关部门负责审批的专项规划，其环境影响报告书的审查办法，由国务院生态环境主管部门会同国务院有关部门制定。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第十四条审查小组提出修改意见的，专项规划的编制机关应当根据环境影响报告书结论和审查意见对规划草案进行修改完善，并对环境影响报告书结论和审查意见的采纳情况作出说明;不采纳的，应当说明理由。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设区的市级以上人民政府或者省级以上人民政府有关部门在审批专项规划草案时，应当将环境影响报告书结论以及审查意见作为决策的重要依据。</w:t>
      </w:r>
      <w:bookmarkStart w:id="0" w:name="m2"/>
      <w:bookmarkEnd w:id="0"/>
      <w:r>
        <w:rPr>
          <w:rFonts w:hint="eastAsia" w:ascii="微软雅黑" w:hAnsi="微软雅黑" w:eastAsia="微软雅黑" w:cs="微软雅黑"/>
          <w:color w:val="333333"/>
          <w:sz w:val="24"/>
          <w:szCs w:val="24"/>
          <w:u w:val="none"/>
          <w:bdr w:val="none" w:color="auto" w:sz="0" w:space="0"/>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在审批中未采纳环境影响报告书结论以及审查意见的，应当作出说明，并存档备查。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第十五条对环境有重大影响的规划实施后，编制机关应当及时组织环境影响的跟踪评价，并将评价结果报告审批机关;发现有明显不良环境影响的，应当及时提出改进措施。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Style w:val="5"/>
          <w:rFonts w:hint="eastAsia" w:ascii="微软雅黑" w:hAnsi="微软雅黑" w:eastAsia="微软雅黑" w:cs="微软雅黑"/>
          <w:color w:val="333333"/>
          <w:sz w:val="24"/>
          <w:szCs w:val="24"/>
          <w:u w:val="none"/>
          <w:bdr w:val="none" w:color="auto" w:sz="0" w:space="0"/>
        </w:rPr>
        <w:t>第三章 建设项目的环境影响评价</w:t>
      </w:r>
      <w:r>
        <w:rPr>
          <w:rFonts w:hint="eastAsia" w:ascii="微软雅黑" w:hAnsi="微软雅黑" w:eastAsia="微软雅黑" w:cs="微软雅黑"/>
          <w:color w:val="333333"/>
          <w:sz w:val="24"/>
          <w:szCs w:val="24"/>
          <w:u w:val="none"/>
          <w:bdr w:val="none" w:color="auto" w:sz="0" w:space="0"/>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第十六条国家根据建设项目对环境的影响程度，对建设项目的环境影响评价实行分类管理。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建设单位应当按照下列规定组织编制环境影响报告书、环境影响报告表或者填报环境影响登记表(以下统称环境影响评价文件):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(一)可能造成重大环境影响的，应当编制环境影响报告书，对产生的环境影响进行全面评价;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(二)可能造成轻度环境影响的，应当编制环境影响报告表，对产生的环境影响进行分析或者专项评价;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(三)对环境影响很小、不需要进行环境影响评价的，应当填报环境影响登记表。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建设项目的环境影响评价分类管理名录，由国务院生态环境主管部门制定并公布。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第十七条建设项目的环境影响报告书应当包括下列内容: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(一)建设项目概况;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(二)建设项目周围环境现状;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(三)建设项目对环境可能造成影响的分析、预测和评估;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(四)建设项目环境保护措施及其技术、经济论证;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(五)建设项目对环境影响的经济损益分析;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(六)对建设项目实施环境监测的建议;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(七)环境影响评价的结论。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环境影响报告表和环境影响登记表的内容和格式，由国务院生态环境主管部门制定。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第十八条建设项目的环境影响评价，应当避免与规划的环境影响评价相重复。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作为一项整体建设项目的规划，按照建设项目进行环境影响评价，不进行规划的环境影响评价。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已经进行了环境影响评价的规划包含具体建设项目的，规划的环境影响评价结论应当作为建设项目环境影响评价的重要依据，建设项目环境影响评价的内容应当根据规划的环境影响评价审查意见予以简化。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十九条建设单位可以委托技术单位对其建设项目开展环境影响评价，编制建设项目环境影响报告书、环境影响报告表;建设单位具备环境影响评价技术能力的，可以自行对其建设项目开展环境影响评价，编制建设项目环境影响报告书、环境影响报告表。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编制建设项目环境影响报告书、环境影响报告表应当遵守国家有关环境影响评价标准、技术规范等规定。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国务院生态环境主管部门应当制定建设项目环境影响报告书、环境影响报告表编制的能力建设指南和监管办法。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接受委托为建设单位编制建设项目环境影响报告书、环境影响报告表的技术单位，不得与负责审批建设项目环境影响报告书、环境影响报告表的生态环境主管部门或者其他有关审批部门存在任何利益关系。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二十条建设单位应当对建设项目环境影响报告书、环境影响报告表的内容和结论负责，接受委托编制建设项目环境影响报告书、环境影响报告表的技术单位对其编制的建设项目环境影响报告书、环境影响报告表承担相应责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设区的市级以上人民政府生态环境主管部门应当加强对建设项目环境影响报告书、环境影响报告表编制单位的监督管理和质量考核。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负责审批建设项目环境影响报告书、环境影响报告表的生态环境主管部门应当将编制单位、编制主持人和主要编制人员的相关违法信息记入社会诚信档案，并纳入全国信用信息共享平台和国家企业信用信息公示系统向社会公布。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任何单位和个人不得为建设单位指定编制建设项目环境影响报告书、环境影响报告表的技术单位。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二十一条除国家规定需要保密的情形外，对环境可能造成重大影响、应当编制环境影响报告书的建设项目，建设单位应当在报批建设项目环境影响报告书前，举行论证会、听证会，或者采取其他形式，征求有关单位、专家和公众的意见。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建设单位报批的环境影响报告书应当附具对有关单位、专家和公众的意见采纳或者不采纳的说明。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第二十二条建设项目的环境影响报告书、报告表，由建设单位按照国务院的规定报有审批权的生态环境主管部门审批。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海洋工程建设项目的海洋环境影响报告书的审批，依照《中华人民共和国海洋环境保护法》的规定办理。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审批部门应当自收到环境影响报告书之日起六十日内，收到环境影响报告表之日起三十日内，分别作出审批决定并书面通知建设单位。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国家对环境影响登记表实行备案管理。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审核、审批建设项目环境影响报告书、报告表以及备案环境影响登记表，不得收取任何费用。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第二十三条国务院生态环境主管部门负责审批下列建设项目的环境影响评价文件: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(一)核设施、绝密工程等特殊性质的建设项目;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(二)跨省、自治区、直辖市行政区域的建设项目;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(三)由国务院审批的或者由国务院授权有关部门审批的建设项目。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前款规定以外的建设项目的环境影响评价文件的审批权限，由省、自治区、直辖市人民政府规定。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建设项目可能造成跨行政区域的不良环境影响，有关生态环境主管部门对该项目的环境影响评价结论有争议的，其环境影响评价文件由共同的上一级生态环境主管部门审批。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第二十四条建设项目的环境影响评价文件经批准后，建设项目的性质、规模、地点、采用的生产工艺或者防治污染、防止生态破坏的措施发生重大变动的，建设单位应当重新报批建设项目的环境影响评价文件。</w:t>
      </w:r>
      <w:bookmarkStart w:id="1" w:name="m3"/>
      <w:bookmarkEnd w:id="1"/>
      <w:r>
        <w:rPr>
          <w:rFonts w:hint="eastAsia" w:ascii="微软雅黑" w:hAnsi="微软雅黑" w:eastAsia="微软雅黑" w:cs="微软雅黑"/>
          <w:color w:val="333333"/>
          <w:sz w:val="24"/>
          <w:szCs w:val="24"/>
          <w:u w:val="none"/>
          <w:bdr w:val="none" w:color="auto" w:sz="0" w:space="0"/>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建设项目的环境影响评价文件自批准之日起超过五年，方决定该项目开工建设的，其环境影响评价文件应当报原审批部门重新审核;原审批部门应当自收到建设项目环境影响评价文件之日起十日内，将审核意见书面通知建设单位。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第二十五条建设项目的环境影响评价文件未依法经审批部门审查或者审查后未予批准的，建设单位不得开工建设。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第二十六条建设项目建设过程中，建设单位应当同时实施环境影响报告书、环境影响报告表以及环境影响评价文件审批部门审批意见中提出的环境保护对策措施。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二十七条在项目建设、运行过程中产生不符合经审批的环境影响评价文件的情形的，建设单位应当组织环境影响的后评价，采取改进措施，并报原环境影响评价文件审批部门和建设项目审批部门备案;原环境影响评价文件审批部门也可以责成建设单位进行环境影响的后评价，采取改进措施。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第二十八条生态环境主管部门应当对建设项目投入生产或者使用后所产生的环境影响进行跟踪检查，对造成严重环境污染或者生态破坏的，应当查清原因、查明责任。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对属于建设项目环境影响报告书、环境影响报告表存在基础资料明显不实，内容存在重大缺陷、遗漏或者虚假，环境影响评价结论不正确或者不合理等严重质量问题的，依照本法第三十二条的规定追究建设单位及其相关责任人员和接受委托编制建设项目环境影响报告书、环境影响报告表的技术单位及其相关人员的法律责任;属于审批部门工作人员失职、渎职，对依法不应批准的建设项目环境影响报告书、环境影响报告表予以批准的，依照本法第三十四条的规定追究其法律责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Style w:val="5"/>
          <w:rFonts w:hint="eastAsia" w:ascii="微软雅黑" w:hAnsi="微软雅黑" w:eastAsia="微软雅黑" w:cs="微软雅黑"/>
          <w:color w:val="333333"/>
          <w:sz w:val="24"/>
          <w:szCs w:val="24"/>
          <w:u w:val="none"/>
          <w:bdr w:val="none" w:color="auto" w:sz="0" w:space="0"/>
        </w:rPr>
        <w:t>第四章 法律责任</w:t>
      </w:r>
      <w:r>
        <w:rPr>
          <w:rFonts w:hint="eastAsia" w:ascii="微软雅黑" w:hAnsi="微软雅黑" w:eastAsia="微软雅黑" w:cs="微软雅黑"/>
          <w:color w:val="333333"/>
          <w:sz w:val="24"/>
          <w:szCs w:val="24"/>
          <w:u w:val="none"/>
          <w:bdr w:val="none" w:color="auto" w:sz="0" w:space="0"/>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二十九条规划编制机关违反本法规定，未组织环境影响评价，或者组织环境影响评价时弄虚作假或者有失职行为，造成环境影响评价严重失实的，对直接负责的主管人员和其他直接责任人员，由上级机关或者监察机关依法给予行政处分。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三十条规划审批机关对依法应当编写有关环境影响的篇章或者说明而未编写的规划草案，依法应当附送环境影响报告书而未附送的专项规划草案，违法予以批准的，对直接负责的主管人员和其他直接责任人员，由上级机关或者监察机关依法给予行政处分。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三十一条建设单位未依法报批建设项目环境影响报告书、报告表，或者未依照本法第二十四条的规定重新报批或者报请重新审核环境影响报告书、报告表，擅自开工建设的，由县级以上生态环境主管部门责令停止建设，根据违法情节和危害后果，处建设项目总投资额百分之一以上百分之五以下的罚款，并可以责令恢复原状;对建设单位直接负责的主管人员和其他直接责任人员，依法给予行政处分。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建设项目环境影响报告书、报告表未经批准或者未经原审批部门重新审核同意，建设单位擅自开工建设的，依照前款的规定处罚、处分。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建设单位未依法备案建设项目环境影响登记表的，由县级以上生态环境主管部门责令备案，处五万元以下的罚款。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海洋工程建设项目的建设单位有本条所列违法行为的，依照《中华人民共和国海洋环境保护法》的规定处罚。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三十二条建设项目环境影响报告书、环境影响报告表存在基础资料明显不实，内容存在重大缺陷、遗漏或者虚假，环境影响评价结论不正确或者不合理等严重质量问题的，由设区的市级以上人民政府生态环境主管部门对建设单位处五十万元以上二百万元以下的罚款，并对建设单位的法定代表人、主要负责人、直接负责的主管人员和其他直接责任人员，处五万元以上二十万元以下的罚款。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接受委托编制建设项目环境影响报告书、环境影响报告表的技术单位违反国家有关环境影响评价标准和技术规范等规定，致使其编制的建设项目环境影响报告书、环境影响报告表存在基础资料明显不实，内容存在重大缺陷、遗漏或者虚假，环境影响评价结论不正确或者不合理等严重质量问题的，由设区的市级以上人民政府生态环境主管部门对技术单位处所收费用三倍以上五倍以下的罚款;情节严重的，禁止从事环境影响报告书、环境影响报告表编制工作;有违法所得的，没收违法所得。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编制单位有本条第一款、第二款规定的违法行为的，编制主持人和主要编制人员五年内禁止从事环境影响报告书、环境影响报告表编制工作;构成犯罪的，依法追究刑事责任，并终身禁止从事环境影响报告书、环境影响报告表编制工作。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三十三条负责审核、审批、备案建设项目环境影响评价文件的部门在审批、备案中收取费用的，由其上级机关或者监察机关责令退还;情节严重的，对直接负责的主管人员和其他直接责任人员依法给予行政处分。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第三十四条生态环境主管部门或者其他部门的工作人员徇私舞弊，滥用职权，玩忽职守，违法批准建设项目环境影响评价文件的，依法给予行政处分;构成犯罪的，依法追究刑事责任。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Style w:val="5"/>
          <w:rFonts w:hint="eastAsia" w:ascii="微软雅黑" w:hAnsi="微软雅黑" w:eastAsia="微软雅黑" w:cs="微软雅黑"/>
          <w:color w:val="333333"/>
          <w:sz w:val="24"/>
          <w:szCs w:val="24"/>
          <w:u w:val="none"/>
          <w:bdr w:val="none" w:color="auto" w:sz="0" w:space="0"/>
        </w:rPr>
        <w:t>第五章 附则</w:t>
      </w:r>
      <w:r>
        <w:rPr>
          <w:rFonts w:hint="eastAsia" w:ascii="微软雅黑" w:hAnsi="微软雅黑" w:eastAsia="微软雅黑" w:cs="微软雅黑"/>
          <w:color w:val="333333"/>
          <w:sz w:val="24"/>
          <w:szCs w:val="24"/>
          <w:u w:val="none"/>
          <w:bdr w:val="none" w:color="auto" w:sz="0" w:space="0"/>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第三十五条省、自治区、直辖市人民政府可以根据本地的实际情况，要求对本辖区的县级人民政府编制的规划进行环境影响评价。具体办法由省、自治区、直辖市参照本法第二章的规定制定。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第三十六条军事设施建设项目的环境影响评价办法，由中央军事委员会依照本法的原则制定。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微软雅黑" w:hAnsi="微软雅黑" w:eastAsia="微软雅黑" w:cs="微软雅黑"/>
          <w:color w:val="333333"/>
          <w:sz w:val="24"/>
          <w:szCs w:val="24"/>
          <w:u w:val="none"/>
        </w:rPr>
      </w:pPr>
      <w:r>
        <w:rPr>
          <w:rFonts w:hint="eastAsia" w:ascii="微软雅黑" w:hAnsi="微软雅黑" w:eastAsia="微软雅黑" w:cs="微软雅黑"/>
          <w:color w:val="333333"/>
          <w:sz w:val="24"/>
          <w:szCs w:val="24"/>
          <w:u w:val="none"/>
          <w:bdr w:val="none" w:color="auto" w:sz="0" w:space="0"/>
        </w:rPr>
        <w:t xml:space="preserve">第三十七条本法自2003年9月1日起施行。 </w:t>
      </w:r>
    </w:p>
    <w:p>
      <w:pPr>
        <w:keepNext w:val="0"/>
        <w:keepLines w:val="0"/>
        <w:pageBreakBefore w:val="0"/>
        <w:kinsoku/>
        <w:wordWrap/>
        <w:overflowPunct/>
        <w:topLinePunct w:val="0"/>
        <w:autoSpaceDE/>
        <w:autoSpaceDN/>
        <w:bidi w:val="0"/>
        <w:adjustRightInd/>
        <w:snapToGrid/>
        <w:spacing w:line="500" w:lineRule="exact"/>
        <w:jc w:val="both"/>
        <w:textAlignment w:val="auto"/>
        <w:rPr>
          <w:rFonts w:hint="eastAsia"/>
          <w:b/>
          <w:bCs/>
          <w:sz w:val="44"/>
          <w:szCs w:val="44"/>
        </w:rPr>
      </w:pPr>
    </w:p>
    <w:bookmarkEnd w:id="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9C7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color w:val="FF0000"/>
      <w:kern w:val="0"/>
      <w:sz w:val="24"/>
      <w:u w:val="single"/>
      <w:lang w:val="en-US" w:eastAsia="zh-CN" w:bidi="ar"/>
    </w:rPr>
  </w:style>
  <w:style w:type="character" w:styleId="5">
    <w:name w:val="Strong"/>
    <w:basedOn w:val="4"/>
    <w:qFormat/>
    <w:uiPriority w:val="0"/>
    <w:rPr>
      <w:b/>
    </w:rPr>
  </w:style>
  <w:style w:type="character" w:styleId="6">
    <w:name w:val="FollowedHyperlink"/>
    <w:basedOn w:val="4"/>
    <w:uiPriority w:val="0"/>
    <w:rPr>
      <w:color w:val="000000"/>
      <w:u w:val="none"/>
    </w:rPr>
  </w:style>
  <w:style w:type="character" w:styleId="7">
    <w:name w:val="Hyperlink"/>
    <w:basedOn w:val="4"/>
    <w:uiPriority w:val="0"/>
    <w:rPr>
      <w:color w:val="00000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2021-03-29T07:31:42Z</dcterms:created>
  <dc:creator>Administrator</dc:creator>
  <cp:lastModifiedBy>雨露</cp:lastModifiedBy>
  <dcterms:modified xsi:type="dcterms:W3CDTF">2021-03-29T07:36:32Z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AA84258B8EE84EADB6BBDB1BFAB8BE63</vt:lpwstr>
  </property>
</Properties>
</file>