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30" w:beforeAutospacing="0" w:after="30" w:afterAutospacing="0" w:line="273" w:lineRule="atLeast"/>
        <w:ind w:left="30" w:right="30"/>
        <w:jc w:val="center"/>
        <w:rPr>
          <w:rFonts w:hint="eastAsia" w:eastAsia="宋体"/>
          <w:b/>
          <w:bCs/>
          <w:i w:val="0"/>
          <w:iCs w:val="0"/>
          <w:color w:val="404040"/>
          <w:sz w:val="44"/>
          <w:szCs w:val="44"/>
          <w:lang w:val="en-US" w:eastAsia="zh-CN"/>
        </w:rPr>
      </w:pPr>
      <w:r>
        <w:rPr>
          <w:rFonts w:ascii="宋体" w:hAnsi="宋体" w:eastAsia="宋体" w:cs="宋体"/>
          <w:b/>
          <w:bCs/>
          <w:i w:val="0"/>
          <w:iCs w:val="0"/>
          <w:color w:val="404040"/>
          <w:kern w:val="0"/>
          <w:sz w:val="44"/>
          <w:szCs w:val="44"/>
          <w:lang w:val="en-US" w:eastAsia="zh-CN" w:bidi="ar"/>
        </w:rPr>
        <w:t>中华人民共和国物权法</w:t>
      </w:r>
      <w:r>
        <w:rPr>
          <w:rFonts w:hint="eastAsia" w:ascii="宋体" w:hAnsi="宋体" w:eastAsia="宋体" w:cs="宋体"/>
          <w:b/>
          <w:bCs/>
          <w:i w:val="0"/>
          <w:iCs w:val="0"/>
          <w:color w:val="404040"/>
          <w:kern w:val="0"/>
          <w:sz w:val="44"/>
          <w:szCs w:val="44"/>
          <w:lang w:val="en-US" w:eastAsia="zh-CN" w:bidi="ar"/>
        </w:rPr>
        <w:t>（</w:t>
      </w:r>
      <w:bookmarkStart w:id="0" w:name="_GoBack"/>
      <w:r>
        <w:rPr>
          <w:rFonts w:hint="eastAsia" w:ascii="宋体" w:hAnsi="宋体" w:eastAsia="宋体" w:cs="宋体"/>
          <w:b/>
          <w:bCs/>
          <w:i w:val="0"/>
          <w:iCs w:val="0"/>
          <w:color w:val="404040"/>
          <w:kern w:val="0"/>
          <w:sz w:val="44"/>
          <w:szCs w:val="44"/>
          <w:lang w:val="en-US" w:eastAsia="zh-CN" w:bidi="ar"/>
        </w:rPr>
        <w:t>摘录</w:t>
      </w:r>
      <w:bookmarkEnd w:id="0"/>
      <w:r>
        <w:rPr>
          <w:rFonts w:hint="eastAsia" w:ascii="宋体" w:hAnsi="宋体" w:eastAsia="宋体" w:cs="宋体"/>
          <w:b/>
          <w:bCs/>
          <w:i w:val="0"/>
          <w:iCs w:val="0"/>
          <w:color w:val="404040"/>
          <w:kern w:val="0"/>
          <w:sz w:val="44"/>
          <w:szCs w:val="44"/>
          <w:lang w:val="en-US" w:eastAsia="zh-CN" w:bidi="ar"/>
        </w:rPr>
        <w:t>）</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（2007年3月16日第十届全国人民代表大会第五次会议通过）</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第三编　用益物权</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第十章　一般规定</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第一百一十七条　用益物权人对他人所有的不动产或者动产，依法享有占有、使用和收益的权利。</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第一百一十八条　国家所有或者国家所有由集体使用以及法律规定属于集体所有的自然资源，单位、个人依法可以占有、使用和收益。</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第一百一十九条　国家实行自然资源有偿使用制度，但法律另有规定的除外。</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第一百二十条　用益物权人行使权利，应当遵守法律有关保护和合理开发利用资源的规定。所有权人不得干涉用益物权人行使权利。</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第一百二十一条　因不动产或者动产被征收、征用致使用益物权消灭或者影响用益物权行使的，用益物权人有权依照本法第四十二条、第四十四条的规定获得相应补偿。</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第一百二十二条　依法取得的海域使用权受法律保护。</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rPr>
      </w:pPr>
      <w:r>
        <w:rPr>
          <w:rFonts w:hint="eastAsia" w:ascii="宋体" w:hAnsi="宋体" w:eastAsia="宋体" w:cs="宋体"/>
          <w:sz w:val="28"/>
          <w:szCs w:val="28"/>
        </w:rPr>
        <w:t xml:space="preserve"> 　　第一百二十三条　依法取得的探矿权、采矿权、取水权和使用水域、滩涂从事养殖、捕捞的权利受法律保护。</w:t>
      </w:r>
    </w:p>
    <w:p>
      <w:pPr>
        <w:rPr>
          <w:rFonts w:hint="eastAsia"/>
        </w:rPr>
      </w:pP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youyu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45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bCs/>
    </w:rPr>
  </w:style>
  <w:style w:type="character" w:styleId="5">
    <w:name w:val="FollowedHyperlink"/>
    <w:basedOn w:val="3"/>
    <w:uiPriority w:val="0"/>
    <w:rPr>
      <w:color w:val="0044DD"/>
      <w:sz w:val="21"/>
      <w:szCs w:val="21"/>
      <w:u w:val="none"/>
    </w:rPr>
  </w:style>
  <w:style w:type="character" w:styleId="6">
    <w:name w:val="Emphasis"/>
    <w:basedOn w:val="3"/>
    <w:qFormat/>
    <w:uiPriority w:val="0"/>
    <w:rPr>
      <w:b/>
      <w:bCs/>
      <w:sz w:val="21"/>
      <w:szCs w:val="21"/>
    </w:rPr>
  </w:style>
  <w:style w:type="character" w:styleId="7">
    <w:name w:val="Hyperlink"/>
    <w:basedOn w:val="3"/>
    <w:uiPriority w:val="0"/>
    <w:rPr>
      <w:color w:val="0044DD"/>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2021-03-29T07:42:32Z</dcterms:created>
  <dc:creator>Administrator</dc:creator>
  <cp:lastModifiedBy>雨露</cp:lastModifiedBy>
  <dcterms:modified xsi:type="dcterms:W3CDTF">2021-03-29T07:50:16Z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DE6CD3124A554037BFD39C07DE869581</vt:lpwstr>
  </property>
</Properties>
</file>