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  <w:t>国土资源部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关于调整矿业权价款确认（备案）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br w:type="textWrapping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和储量评审备案管理权限的通知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楷体_GB2312" w:hAnsi="宋体" w:eastAsia="楷体_GB2312" w:cs="楷体_GB2312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</w:pPr>
      <w:r>
        <w:rPr>
          <w:rFonts w:hint="eastAsia" w:ascii="楷体_GB2312" w:hAnsi="宋体" w:eastAsia="楷体_GB2312" w:cs="楷体_GB2312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（</w:t>
      </w:r>
      <w:r>
        <w:rPr>
          <w:rFonts w:ascii="楷体_GB2312" w:hAnsi="宋体" w:eastAsia="楷体_GB2312" w:cs="楷体_GB2312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国土资发〔2006〕 166号</w:t>
      </w:r>
      <w:r>
        <w:rPr>
          <w:rFonts w:hint="eastAsia" w:ascii="楷体_GB2312" w:hAnsi="宋体" w:eastAsia="楷体_GB2312" w:cs="楷体_GB2312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各省、自治区、直辖市国土资源厅（国土环境资源厅、国土资源局、国土资源和房屋管理局、房屋土地资源管理局），各矿业权评估机构，储量评审机构，各有关单位：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为贯彻落实《国务院关于全面整顿和规范矿产资源开发秩序的通知》（国发〔2005〕28号）、《国务院关于加强地质工作的决定》（国发〔2006〕4号）的有关精神和要求，理顺矿业权价款确认（备案）、储量评审备案权限与矿业权审批管理权限的关系，现将矿业权价款确认（备案）和储量评审备案权限做如下调整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一、国土资源部负责颁发勘查许可证和采矿许可证的，矿业权价款确认（备案）和处置工作由部负责，其余由省（区、市）国土资源管理部门负责。省级国土资源管理部门每季度将价款确认（备案）和处置情况报国土资源部，报表格式见附件1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二、国土资源部负责颁发勘查许可证和采矿许可证的，矿产储量评审备案工作由部负责，其余由各省（区、市）国土资源管理部门负责，评审机构的评审范围做相应的调整。省级国土资源管理部门每季度将储量评审备案情况报国土资源部，报表格式见附件2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三、矿山企业上市融资涉及的矿产资源储量评审仍报国土资源部备案。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附件：1.省（区、市）国土资源厅（局）矿业权价款评估确认（备案）情况表；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2.省（区、市）国土资源厅（局）矿产资源储量评审备案情况表。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8960" w:firstLineChars="320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中华人民共和国国土资源部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　　　　　　　　　　　　　　　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                             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2006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年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7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25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日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华文中宋" w:hAnsi="华文中宋" w:eastAsia="华文中宋" w:cs="宋体"/>
          <w:kern w:val="0"/>
          <w:sz w:val="28"/>
          <w:szCs w:val="28"/>
        </w:rPr>
        <w:t>附件1</w:t>
      </w:r>
    </w:p>
    <w:p>
      <w:pPr>
        <w:widowControl/>
        <w:jc w:val="center"/>
        <w:rPr>
          <w:rFonts w:hint="eastAsia" w:ascii="华文中宋" w:hAnsi="华文中宋" w:eastAsia="华文中宋"/>
          <w:b/>
          <w:bCs/>
          <w:kern w:val="0"/>
          <w:sz w:val="36"/>
          <w:szCs w:val="36"/>
        </w:rPr>
      </w:pPr>
      <w:r>
        <w:rPr>
          <w:b/>
          <w:bCs/>
          <w:kern w:val="0"/>
          <w:sz w:val="40"/>
          <w:szCs w:val="40"/>
        </w:rPr>
        <w:t xml:space="preserve"> </w:t>
      </w:r>
      <w:r>
        <w:rPr>
          <w:rFonts w:hint="eastAsia" w:ascii="华文中宋" w:hAnsi="华文中宋" w:eastAsia="华文中宋"/>
          <w:b/>
          <w:bCs/>
          <w:kern w:val="0"/>
          <w:sz w:val="36"/>
          <w:szCs w:val="36"/>
        </w:rPr>
        <w:t xml:space="preserve"> </w:t>
      </w:r>
      <w:r>
        <w:rPr>
          <w:rFonts w:hint="eastAsia" w:ascii="华文中宋" w:hAnsi="华文中宋" w:eastAsia="华文中宋"/>
          <w:b/>
          <w:bCs/>
          <w:kern w:val="0"/>
          <w:sz w:val="36"/>
          <w:szCs w:val="36"/>
          <w:u w:val="single"/>
        </w:rPr>
        <w:t xml:space="preserve">     </w:t>
      </w:r>
      <w:r>
        <w:rPr>
          <w:rFonts w:hint="eastAsia" w:ascii="华文中宋" w:hAnsi="华文中宋" w:eastAsia="华文中宋"/>
          <w:b/>
          <w:bCs/>
          <w:kern w:val="0"/>
          <w:sz w:val="36"/>
          <w:szCs w:val="36"/>
        </w:rPr>
        <w:t>省（区、市）国土资源厅（局）矿业权价款评估确认（备案）情况表</w:t>
      </w:r>
    </w:p>
    <w:p>
      <w:pPr>
        <w:widowControl/>
        <w:jc w:val="center"/>
        <w:rPr>
          <w:kern w:val="0"/>
          <w:sz w:val="24"/>
        </w:rPr>
      </w:pPr>
      <w:r>
        <w:rPr>
          <w:kern w:val="0"/>
          <w:sz w:val="24"/>
        </w:rPr>
        <w:t xml:space="preserve">200    </w:t>
      </w:r>
      <w:r>
        <w:rPr>
          <w:rFonts w:hint="eastAsia" w:ascii="宋体" w:hAnsi="宋体"/>
          <w:kern w:val="0"/>
          <w:sz w:val="24"/>
        </w:rPr>
        <w:t>年</w:t>
      </w:r>
      <w:r>
        <w:rPr>
          <w:kern w:val="0"/>
          <w:sz w:val="24"/>
        </w:rPr>
        <w:t xml:space="preserve">     </w:t>
      </w:r>
      <w:r>
        <w:rPr>
          <w:rFonts w:hint="eastAsia" w:ascii="宋体" w:hAnsi="宋体"/>
          <w:kern w:val="0"/>
          <w:sz w:val="24"/>
        </w:rPr>
        <w:t>月—</w:t>
      </w:r>
      <w:r>
        <w:rPr>
          <w:kern w:val="0"/>
          <w:sz w:val="24"/>
        </w:rPr>
        <w:t xml:space="preserve">     </w:t>
      </w:r>
      <w:r>
        <w:rPr>
          <w:rFonts w:hint="eastAsia" w:ascii="宋体" w:hAnsi="宋体"/>
          <w:kern w:val="0"/>
          <w:sz w:val="24"/>
        </w:rPr>
        <w:t>月</w:t>
      </w:r>
    </w:p>
    <w:p>
      <w:pPr>
        <w:widowControl/>
        <w:ind w:right="-1342" w:rightChars="-639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填报单位章：                                                                                填报时间：</w:t>
      </w:r>
      <w:r>
        <w:rPr>
          <w:kern w:val="0"/>
          <w:sz w:val="24"/>
        </w:rPr>
        <w:t xml:space="preserve">200    </w:t>
      </w:r>
      <w:r>
        <w:rPr>
          <w:rFonts w:hint="eastAsia" w:ascii="宋体" w:hAnsi="宋体" w:cs="宋体"/>
          <w:kern w:val="0"/>
          <w:sz w:val="24"/>
        </w:rPr>
        <w:t>年</w:t>
      </w:r>
      <w:r>
        <w:rPr>
          <w:kern w:val="0"/>
          <w:sz w:val="24"/>
        </w:rPr>
        <w:t xml:space="preserve">    </w:t>
      </w:r>
      <w:r>
        <w:rPr>
          <w:rFonts w:hint="eastAsia" w:ascii="宋体" w:hAnsi="宋体" w:cs="宋体"/>
          <w:kern w:val="0"/>
          <w:sz w:val="24"/>
        </w:rPr>
        <w:t>月</w:t>
      </w:r>
    </w:p>
    <w:tbl>
      <w:tblPr>
        <w:tblStyle w:val="3"/>
        <w:tblW w:w="14220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800"/>
        <w:gridCol w:w="1260"/>
        <w:gridCol w:w="1800"/>
        <w:gridCol w:w="1080"/>
        <w:gridCol w:w="1800"/>
        <w:gridCol w:w="1080"/>
        <w:gridCol w:w="1080"/>
        <w:gridCol w:w="1080"/>
        <w:gridCol w:w="900"/>
        <w:gridCol w:w="900"/>
        <w:gridCol w:w="9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序号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评估项目名称</w:t>
            </w: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委托人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评估机构名称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机构选择方式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评估费支付人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评估值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价款确定值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价款确定方式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成交价款</w:t>
            </w: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成交方式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付款方式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54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23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小  计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项目（个）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mc:AlternateContent>
                <mc:Choice Requires="wpc">
                  <w:drawing>
                    <wp:inline distT="0" distB="0" distL="114300" distR="114300">
                      <wp:extent cx="342900" cy="19812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直接连接符 1"/>
                              <wps:cNvSpPr/>
                              <wps:spPr>
                                <a:xfrm>
                                  <a:off x="0" y="0"/>
                                  <a:ext cx="342900" cy="47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15.6pt;width:27pt;" coordsize="342900,198120" editas="canvas" o:gfxdata="UEsDBAoAAAAAAIdO4kAAAAAAAAAAAAAAAAAEAAAAZHJzL1BLAwQUAAAACACHTuJAd9yDfNMAAAAD&#10;AQAADwAAAGRycy9kb3ducmV2LnhtbE2PT0vDQBDF74LfYRnBm92kVWljNgUV7dVWKfQ2yU7+YHY2&#10;ZLdN/faOXvTy4PGG936Tr8+uVycaQ+fZQDpLQBFX3nbcGPh4f7lZggoR2WLvmQx8UYB1cXmRY2b9&#10;xFs67WKjpIRDhgbaGIdM61C15DDM/EAsWe1Hh1Hs2Gg74iTlrtfzJLnXDjuWhRYHemqp+twdnYHH&#10;xfMep2W9KW1p6+n1sNpMbytjrq/S5AFUpHP8O4YffEGHQphKf2QbVG9AHom/KtndrbjSwCKdgy5y&#10;/Z+9+AZQSwMEFAAAAAgAh07iQAnRmWtIAgAAEQUAAA4AAABkcnMvZTJvRG9jLnhtbKWUzW4TMRDH&#10;70i8g+U72ezSQrPKpgfS9oKgUuEBHK93bclfsp1scubOiRsSNzhx5IDEgaeB8hiMvdstpBKKSg7O&#10;2P57PPObHc9Pt0qiDXNeGF3hfDLFiGlqaqHbCr9+df7oBCMfiK6JNJpVeMc8Pl08fDDvbMkKw42s&#10;mUPgRPuysxXmIdgyyzzlTBE/MZZp2GyMUyTA1LVZ7UgH3pXMiun0SdYZV1tnKPMeVpf9Jh48ukMc&#10;mqYRlC0NXSumQ+/VMUkCpOS5sB4vUrRNw2h42TSeBSQrDJmGNMIlYK/imC3mpGwdsVzQIQRySAh7&#10;OSkiNFw6ulqSQNDaiTuulKDOeNOECTUq6xNJRCCLfLrH5sKZtU25tGXX2hE6FGqP+r3d0hebS4dE&#10;XeECI00UFPz63bcfX9+gIrLpbFuC5MLZK3vphoW2n8V0t41T8R8SQdtEdTdSZduAKCw+PipmU+BN&#10;YSufneTFQJ1yKM2dU5Sf/fNcdnNpFmMbQ+ksfI3+FpH/P0RXnFiWyPuY/4AoHxG9//Lz7cdf3z/A&#10;eP35E8p7Vkk7gvKlB2b3oXT0NPobMyWldT5cMKNQNCoshY7BkZJsnvvQS28kcVlq1FV4dlwcA3UC&#10;PdpAb4CpLNTZ6zad9UaK+lxIGU94166eSYc2JPZJ+g0h/CWLlyyJ570ubUUZKTkj9ZmuUdhZ+II0&#10;PBw4hqBYjZFk8M5EKykDEfIQJWQvNUCIhe05Rmtl6h0UY22daDmQSOCTBoqf1KlTEryhq2Mr/jlP&#10;qtuXbP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9yDfNMAAAADAQAADwAAAAAAAAABACAAAAAi&#10;AAAAZHJzL2Rvd25yZXYueG1sUEsBAhQAFAAAAAgAh07iQAnRmWtIAgAAEQUAAA4AAAAAAAAAAQAg&#10;AAAAIgEAAGRycy9lMm9Eb2MueG1sUEsFBgAAAAAGAAYAWQEAANwFAAAAAA==&#10;">
                      <o:lock v:ext="edit" aspectratio="f"/>
                      <v:rect id="_x0000_s1026" o:spid="_x0000_s1026" o:spt="1" style="position:absolute;left:0;top:0;height:198120;width:342900;" filled="f" stroked="f" coordsize="21600,21600" o:gfxdata="UEsDBAoAAAAAAIdO4kAAAAAAAAAAAAAAAAAEAAAAZHJzL1BLAwQUAAAACACHTuJAd9yDfNMAAAAD&#10;AQAADwAAAGRycy9kb3ducmV2LnhtbE2PT0vDQBDF74LfYRnBm92kVWljNgUV7dVWKfQ2yU7+YHY2&#10;ZLdN/faOXvTy4PGG936Tr8+uVycaQ+fZQDpLQBFX3nbcGPh4f7lZggoR2WLvmQx8UYB1cXmRY2b9&#10;xFs67WKjpIRDhgbaGIdM61C15DDM/EAsWe1Hh1Hs2Gg74iTlrtfzJLnXDjuWhRYHemqp+twdnYHH&#10;xfMep2W9KW1p6+n1sNpMbytjrq/S5AFUpHP8O4YffEGHQphKf2QbVG9AHom/KtndrbjSwCKdgy5y&#10;/Z+9+AZQSwMEFAAAAAgAh07iQNk6CgMmAgAAkgQAAA4AAABkcnMvZTJvRG9jLnhtbK1UzW4TMRC+&#10;I/EOlu9kk9ACXWXTQ0O5IKhUeICJ17tryX/yONnkJXgBJG5w4si9b0N5DMbebUrLJRLk4B3bnz9/&#10;8804i/Od0WwrAypnKz6bTDmTVrha2bbiHz9cPnvFGUawNWhnZcX3Evn58umTRe9LOXed07UMjEgs&#10;lr2veBejL4sCRScN4MR5aWmzccFApGloizpAT+xGF/Pp9EXRu1D74IREpNXVsMlHxnAMoWsaJeTK&#10;iY2RNg6sQWqIlBJ2yiNfZrVNI0V83zQoI9MVp0xjHukSitdpLJYLKNsAvlNilADHSHiUkwFl6dID&#10;1QoisE1Qf1EZJYJD18SJcKYYEsmOUBaz6SNvLsBuYUhGkNd3Ain6j7zrNum27lJpTW4UxF6mtfTt&#10;qdoybWv7EDSsZOyI6T21A/pDY+C/SbzuwMtcRizFu+1VYKqmbuXMgqGmvP384+enr79uvtB4+/0b&#10;m6VCJgmEvfZXYZwhhUn4rgkmfclvtsvF3x+KL3eRCVp8fjI/m1JbCNo6eZn4ivuDPmB8I51hKai4&#10;VjaJgxK2bzEO0DtIWtaW9RU/O52fEh/QI2moOSk0npJA2+az6LSqk+vpBIZ2faED20Jq1PwbJTyA&#10;pUtWgN2Ay1sJBmUnoX5taxb3nuyx9HJ5kmBkzZmW9NBTlJERlD4GSdmnqlONsRx8TNHa1XsqxsYH&#10;1XbkRDY+Y6j4Y/dQ52TzxmeV3sKf84y6/ytZ/g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33IN8&#10;0wAAAAMBAAAPAAAAAAAAAAEAIAAAACIAAABkcnMvZG93bnJldi54bWxQSwECFAAUAAAACACHTuJA&#10;2ToKAyYCAACSBAAADgAAAAAAAAABACAAAAAiAQAAZHJzL2Uyb0RvYy54bWxQSwUGAAAAAAYABgBZ&#10;AQAAugUAAAAA&#10;">
                        <v:path/>
                        <v:fill on="f" focussize="0,0"/>
                        <v:stroke on="f"/>
                        <v:imagedata o:title=""/>
                        <o:lock v:ext="edit" rotation="t" text="t" aspectratio="t"/>
                      </v:rect>
                      <v:line id="_x0000_s1026" o:spid="_x0000_s1026" o:spt="20" style="position:absolute;left:0;top:0;height:47;width:342900;" filled="f" stroked="t" coordsize="21600,21600" o:gfxdata="UEsDBAoAAAAAAIdO4kAAAAAAAAAAAAAAAAAEAAAAZHJzL1BLAwQUAAAACACHTuJAFAFULtIAAAAD&#10;AQAADwAAAGRycy9kb3ducmV2LnhtbE2PzU7DMBCE70i8g7VIXKrWTgqoCnF6AHLjQgFx3cZLEhGv&#10;09j9gadn4QKXkUazmvm2XJ/8oA40xT6whWxhQBE3wfXcWnh5rucrUDEhOxwCk4VPirCuzs9KLFw4&#10;8hMdNqlVUsKxQAtdSmOhdWw68hgXYSSW7D1MHpPYqdVuwqOU+0Hnxtxojz3LQocj3XXUfGz23kKs&#10;X2lXf82amXlbtoHy3f3jA1p7eZGZW1CJTunvGH7wBR0qYdqGPbuoBgvySPpVya6vxG0tLLMcdFXq&#10;/+zVN1BLAwQUAAAACACHTuJAJg0Q5vIBAADkAwAADgAAAGRycy9lMm9Eb2MueG1srVNLjhMxEN0j&#10;cQfLe9JJmAGmlc4sCMMGwUgDB6jY7m5L/snlpJNLcAEkdrBiyX5uw3AMyu6QgWGTBb1wl+3n53qv&#10;yovLnTVsqyJq7xo+m0w5U054qV3X8A/vr5684AwTOAnGO9XwvUJ+uXz8aDGEWs19741UkRGJw3oI&#10;De9TCnVVoeiVBZz4oBxttj5aSDSNXSUjDMRuTTWfTp9Vg48yRC8UIq2uxk1+YIynEPq21UKtvNhY&#10;5dLIGpWBRJKw1wH5smTbtkqkd22LKjHTcFKaykiXULzOY7VcQN1FCL0WhxTglBQeaLKgHV16pFpB&#10;AraJ+h8qq0X06Ns0Ed5Wo5DiCKmYTR94c9NDUEULWY3haDr+P1rxdnsdmZbUCZw5sFTwu0/ff3z8&#10;8vP2M413376yWTZpCFgT9iZcx8MMKcyKd220+U9a2K4Yuz8aq3aJCVp8eja/mJLlgrbOnme+6v5g&#10;iJheK29ZDhputMuaoYbtG0wj9DckLxvHhoZfnM/PiQ+oAVsqPIU2kAh0XTmL3mh5pY3JJzB265cm&#10;si3kJijfIYW/YPmSFWA/4spWhkHdK5CvnGRpH8geR6+C5xSskpwZRY8oRwWZQJtTkKTeODIhuzr6&#10;mKO1l3sqxiZE3fXkRDG+YKj4xbJDo+bu+nNemO4f5/I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AFULtIAAAADAQAADwAAAAAAAAABACAAAAAiAAAAZHJzL2Rvd25yZXYueG1sUEsBAhQAFAAAAAgA&#10;h07iQCYNEObyAQAA5AMAAA4AAAAAAAAAAQAgAAAAIQEAAGRycy9lMm9Eb2MueG1sUEsFBgAAAAAG&#10;AAYAWQEAAIUF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149860</wp:posOffset>
                      </wp:positionV>
                      <wp:extent cx="571500" cy="0"/>
                      <wp:effectExtent l="0" t="0" r="0" b="0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1.6pt;margin-top:11.8pt;height:0pt;width:45pt;z-index:251660288;mso-width-relative:page;mso-height-relative:page;" filled="f" coordsize="21600,21600" o:gfxdata="UEsDBAoAAAAAAIdO4kAAAAAAAAAAAAAAAAAEAAAAZHJzL1BLAwQUAAAACACHTuJA/GxowNQAAAAI&#10;AQAADwAAAGRycy9kb3ducmV2LnhtbE2PzU7DMBCE70i8g7VIvVTUboIqlMbpAcitF0qrXrfxNomI&#10;12ns/sDT44gDHHdmNPtNvrrZTlxo8K1jDfOZAkFcOdNyrWH7UT4+g/AB2WDnmDR8kYdVcX+XY2bc&#10;ld/psgm1iCXsM9TQhNBnUvqqIYt+5nri6B3dYDHEc6ilGfAay20nE6UW0mLL8UODPb00VH1uzlaD&#10;L3d0Kr+n1VTt09pRcnpdv6HWk4e5WoIIdAt/YRjxIzoUkengzmy86DQ8pUlMakjSBYjRT0fh8CvI&#10;Ipf/BxQ/UEsDBBQAAAAIAIdO4kC5b/Pb8wEAAOMDAAAOAAAAZHJzL2Uyb0RvYy54bWytU0uOEzEQ&#10;3SNxB8t70kmk8GmlMwvCsEEw0sABKra725J/cjnp5BJcAIkdrFiy5zYMx6DszmSYmU0W9MJddpVf&#10;1XtVXl7srWE7FVF71/DZZMqZcsJL7bqGf/p4+ewlZ5jASTDeqYYfFPKL1dMnyyHUau57b6SKjEAc&#10;1kNoeJ9SqKsKRa8s4MQH5cjZ+mgh0TZ2lYwwELo11Xw6fV4NPsoQvVCIdLoenfyIGM8B9G2rhVp7&#10;sbXKpRE1KgOJKGGvA/JVqbZtlUgf2hZVYqbhxDSVlZKQvclrtVpC3UUIvRbHEuCcEh5wsqAdJT1B&#10;rSEB20b9CMpqET36Nk2Et9VIpChCLGbTB9pc9xBU4UJSYziJjv8PVrzfXUWmZcMXnDmw1PCbLz9/&#10;f/7259dXWm9+fGeLLNIQsKbY63AVjzskMzPet9HmP3Fh+yLs4SSs2icm6HDxYraYkuTi1lXd3QsR&#10;01vlLctGw412mTLUsHuHiXJR6G1IPjaODQ1/tZhTvQJo/lrqO5k2EAd0XbmL3mh5qY3JNzB2m9cm&#10;sh3kGShfZkS498JykjVgP8YV1zgdvQL5xkmWDoHUcfQoeC7BKsmZUfSGskWAUCfQ5pxISm0cVZBF&#10;HWXM1sbLA/ViG6LuelJiVqrMHup9qfc4p3m4/t0XpLu3ufo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/GxowNQAAAAIAQAADwAAAAAAAAABACAAAAAiAAAAZHJzL2Rvd25yZXYueG1sUEsBAhQAFAAA&#10;AAgAh07iQLlv89vzAQAA4wMAAA4AAAAAAAAAAQAgAAAAIwEAAGRycy9lMm9Eb2MueG1sUEsFBgAA&#10;AAAGAAYAWQEAAIgFAAAAAA==&#10;">
                      <v:path arrowok="t"/>
                      <v:fill on="f" focussize="0,0"/>
                      <v:stroke/>
                      <v:imagedata o:title=""/>
                      <o:lock v:ext="edit"/>
                    </v:line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149860</wp:posOffset>
                      </wp:positionV>
                      <wp:extent cx="457200" cy="0"/>
                      <wp:effectExtent l="0" t="0" r="0" b="0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.6pt;margin-top:11.8pt;height:0pt;width:36pt;z-index:251661312;mso-width-relative:page;mso-height-relative:page;" filled="f" coordsize="21600,21600" o:gfxdata="UEsDBAoAAAAAAIdO4kAAAAAAAAAAAAAAAAAEAAAAZHJzL1BLAwQUAAAACACHTuJAriU/3dIAAAAG&#10;AQAADwAAAGRycy9kb3ducmV2LnhtbE2OTU/DMBBE70j8B2uRuFTUbiq1JcTpAciNCwXU6zZekoh4&#10;ncbuB/x6FnGA49OMZl6xPvteHWmMXWALs6kBRVwH13Fj4fWlulmBignZYR+YLHxShHV5eVFg7sKJ&#10;n+m4SY2SEY45WmhTGnKtY92SxzgNA7Fk72H0mATHRrsRTzLue50Zs9AeO5aHFge6b6n+2By8hVi9&#10;0b76mtQTs503gbL9w9MjWnt9NTN3oBKd018ZfvRFHUpx2oUDu6h6C8tMihay+QKUxMtb4d0v67LQ&#10;//XLb1BLAwQUAAAACACHTuJAWUHdG/MBAADjAwAADgAAAGRycy9lMm9Eb2MueG1srVNLjhMxEN0j&#10;cQfLe6aTKOHTSmcWhGGDYKSBA1Rsd7cl/+Ry0skluAASO1ixZM9tGI5B2Z3JwLDJgl64y67yq3qv&#10;ysvLvTVspyJq7xo+vZhwppzwUruu4R/eXz15zhkmcBKMd6rhB4X8cvX40XIItZr53hupIiMQh/UQ&#10;Gt6nFOqqQtErC3jhg3LkbH20kGgbu0pGGAjdmmo2mTytBh9liF4oRDpdj05+RIznAPq21UKtvdha&#10;5dKIGpWBRJSw1wH5qlTbtkqkd22LKjHTcGKaykpJyN7ktVotoe4ihF6LYwlwTgkPOFnQjpKeoNaQ&#10;gG2j/gfKahE9+jZdCG+rkUhRhFhMJw+0uekhqMKFpMZwEh3/H6x4u7uOTMuGzzlzYKnht5++//z4&#10;5dePz7TefvvK5lmkIWBNsTfhOh53SGZmvG+jzX/iwvZF2MNJWLVPTNDhfPGMWs+ZuHNV9/dCxPRa&#10;ecuy0XCjXaYMNezeYKJcFHoXko+NY0PDXyxmC4IDmr+W+k6mDcQBXVfuojdaXmlj8g2M3ealiWwH&#10;eQbKlxkR7l9hOckasB/jimucjl6BfOUkS4dA6jh6FDyXYJXkzCh6Q9kiQKgTaHNOJKU2jirIoo4y&#10;Zmvj5YF6sQ1Rdz0pMS1VZg/1vtR7nNM8XH/uC9L921z9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4lP93SAAAABgEAAA8AAAAAAAAAAQAgAAAAIgAAAGRycy9kb3ducmV2LnhtbFBLAQIUABQAAAAI&#10;AIdO4kBZQd0b8wEAAOMDAAAOAAAAAAAAAAEAIAAAACEBAABkcnMvZTJvRG9jLnhtbFBLBQYAAAAA&#10;BgAGAFkBAACGBQAAAAA=&#10;">
                      <v:path arrowok="t"/>
                      <v:fill on="f" focussize="0,0"/>
                      <v:stroke/>
                      <v:imagedata o:title=""/>
                      <o:lock v:ext="edit"/>
                    </v:line>
                  </w:pict>
                </mc:Fallback>
              </mc:AlternateConten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149860</wp:posOffset>
                      </wp:positionV>
                      <wp:extent cx="342900" cy="0"/>
                      <wp:effectExtent l="0" t="0" r="0" b="0"/>
                      <wp:wrapNone/>
                      <wp:docPr id="3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3.6pt;margin-top:11.8pt;height:0pt;width:27pt;z-index:251662336;mso-width-relative:page;mso-height-relative:page;" filled="f" coordsize="21600,21600" o:gfxdata="UEsDBAoAAAAAAIdO4kAAAAAAAAAAAAAAAAAEAAAAZHJzL1BLAwQUAAAACACHTuJAYhSXs9IAAAAG&#10;AQAADwAAAGRycy9kb3ducmV2LnhtbE2OPU/EMBBEeyT+g7VINCfOTk4KKMS5AkhHwwGi3YuXJCJe&#10;52LfB/x6FlFA+TSjmVetT35UB5rjENhCtjSgiNvgBu4svDw3VzegYkJ2OAYmC58UYV2fn1VYunDk&#10;JzpsUqdkhGOJFvqUplLr2PbkMS7DRCzZe5g9JsG5027Go4z7UefGFNrjwPLQ40R3PbUfm723EJtX&#10;2jVfi3Zh3lZdoHx3//iA1l5eZOYWVKJT+ivDj76oQy1O27BnF9Vo4TqXooV8VYCSuMiEt7+s60r/&#10;16+/AVBLAwQUAAAACACHTuJAA/zLG/MBAADjAwAADgAAAGRycy9lMm9Eb2MueG1srVPNbhMxEL4j&#10;8Q6W72TzQxFdZdMDoVwQVCo8wMT27lrynzxONnkJXgCJG5w4cudtWh6DsTdtoVxyYA/esWf8zXzf&#10;jJcXe2vYTkXU3jV8NplyppzwUruu4R8/XD57yRkmcBKMd6rhB4X8YvX0yXIItZr73hupIiMQh/UQ&#10;Gt6nFOqqQtErCzjxQTlytj5aSLSNXSUjDIRuTTWfTl9Ug48yRC8UIp2uRyc/IsZTAH3baqHWXmyt&#10;cmlEjcpAIkrY64B8VaptWyXS+7ZFlZhpODFNZaUkZG/yWq2WUHcRQq/FsQQ4pYRHnCxoR0nvodaQ&#10;gG2j/gfKahE9+jZNhLfVSKQoQixm00faXPcQVOFCUmO4Fx3/H6x4t7uKTMuGLzhzYKnht59/3Hz6&#10;+uvnF1pvv39jiyzSELCm2OtwFY87JDMz3rfR5j9xYfsi7OFeWLVPTNDh4vn8fEqSiztX9XAvRExv&#10;lLcsGw032mXKUMPuLSbKRaF3IfnYODY0/PxsfkZwQPPXUt/JtIE4oOvKXfRGy0ttTL6Bsdu8MpHt&#10;IM9A+TIjwv0rLCdZA/ZjXHGN09ErkK+dZOkQSB1Hj4LnEqySnBlFbyhbBAh1Am1OiaTUxlEFWdRR&#10;xmxtvDxQL7Yh6q4nJWalyuyh3pd6j3Oah+vPfUF6eJu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IUl7PSAAAABgEAAA8AAAAAAAAAAQAgAAAAIgAAAGRycy9kb3ducmV2LnhtbFBLAQIUABQAAAAI&#10;AIdO4kAD/Msb8wEAAOMDAAAOAAAAAAAAAAEAIAAAACEBAABkcnMvZTJvRG9jLnhtbFBLBQYAAAAA&#10;BgAGAFkBAACGBQAAAAA=&#10;">
                      <v:path arrowok="t"/>
                      <v:fill on="f" focussize="0,0"/>
                      <v:stroke/>
                      <v:imagedata o:title=""/>
                      <o:lock v:ext="edit"/>
                    </v:line>
                  </w:pict>
                </mc:Fallback>
              </mc:AlternateContent>
            </w:r>
          </w:p>
        </w:tc>
      </w:tr>
    </w:tbl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注：1. 机构选择方式：分抽签、摇号、招标、指定、协议等；</w:t>
      </w:r>
    </w:p>
    <w:p>
      <w:pPr>
        <w:widowControl/>
        <w:ind w:firstLine="480" w:firstLineChars="20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2．矿业权价款确定方式：分业务处确定、会审确定、专家确定、其他等。“其他”应注明是何种方式；</w:t>
      </w:r>
    </w:p>
    <w:p>
      <w:pPr>
        <w:widowControl/>
        <w:ind w:firstLine="480" w:firstLineChars="20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3．成交价款：指实际收取矿业权价款数；</w:t>
      </w:r>
    </w:p>
    <w:p>
      <w:pPr>
        <w:widowControl/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4．成交方式：指协议出让、招标、拍卖、挂牌；</w:t>
      </w:r>
    </w:p>
    <w:p>
      <w:pPr>
        <w:widowControl/>
        <w:ind w:firstLine="480" w:firstLineChars="200"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5．付款方式：指一次付清、分期付清、转资本金、转发展基金、转股权、其他。</w:t>
      </w:r>
    </w:p>
    <w:p/>
    <w:p>
      <w:pPr>
        <w:widowControl/>
        <w:rPr>
          <w:rFonts w:hint="eastAsia"/>
          <w:b/>
          <w:bCs/>
          <w:kern w:val="0"/>
          <w:sz w:val="28"/>
          <w:szCs w:val="28"/>
        </w:rPr>
      </w:pPr>
      <w:r>
        <w:br w:type="page"/>
      </w:r>
      <w:r>
        <w:rPr>
          <w:rFonts w:hint="eastAsia"/>
          <w:b/>
          <w:bCs/>
          <w:kern w:val="0"/>
          <w:sz w:val="28"/>
          <w:szCs w:val="28"/>
        </w:rPr>
        <w:t>附件2</w:t>
      </w:r>
      <w:r>
        <w:rPr>
          <w:b/>
          <w:bCs/>
          <w:kern w:val="0"/>
          <w:sz w:val="28"/>
          <w:szCs w:val="28"/>
        </w:rPr>
        <w:t xml:space="preserve"> </w:t>
      </w:r>
    </w:p>
    <w:p>
      <w:pPr>
        <w:widowControl/>
        <w:jc w:val="center"/>
        <w:rPr>
          <w:rFonts w:hint="eastAsia" w:ascii="华文中宋" w:hAnsi="华文中宋" w:eastAsia="华文中宋"/>
          <w:b/>
          <w:bCs/>
          <w:kern w:val="0"/>
          <w:sz w:val="36"/>
          <w:szCs w:val="36"/>
        </w:rPr>
      </w:pPr>
      <w:r>
        <w:rPr>
          <w:rFonts w:hint="eastAsia" w:ascii="华文中宋" w:hAnsi="华文中宋" w:eastAsia="华文中宋"/>
          <w:b/>
          <w:bCs/>
          <w:kern w:val="0"/>
          <w:sz w:val="36"/>
          <w:szCs w:val="36"/>
        </w:rPr>
        <w:t xml:space="preserve"> </w:t>
      </w:r>
      <w:r>
        <w:rPr>
          <w:rFonts w:hint="eastAsia" w:ascii="华文中宋" w:hAnsi="华文中宋" w:eastAsia="华文中宋"/>
          <w:b/>
          <w:bCs/>
          <w:kern w:val="0"/>
          <w:sz w:val="36"/>
          <w:szCs w:val="36"/>
          <w:u w:val="single"/>
        </w:rPr>
        <w:t xml:space="preserve">     </w:t>
      </w:r>
      <w:r>
        <w:rPr>
          <w:rFonts w:hint="eastAsia" w:ascii="华文中宋" w:hAnsi="华文中宋" w:eastAsia="华文中宋"/>
          <w:b/>
          <w:bCs/>
          <w:kern w:val="0"/>
          <w:sz w:val="36"/>
          <w:szCs w:val="36"/>
        </w:rPr>
        <w:t>省（区、市）国土资源厅（局）储量评审备案情况表</w:t>
      </w:r>
    </w:p>
    <w:p>
      <w:pPr>
        <w:widowControl/>
        <w:jc w:val="center"/>
        <w:rPr>
          <w:kern w:val="0"/>
          <w:sz w:val="24"/>
        </w:rPr>
      </w:pPr>
      <w:r>
        <w:rPr>
          <w:kern w:val="0"/>
          <w:sz w:val="24"/>
        </w:rPr>
        <w:t xml:space="preserve">200    </w:t>
      </w:r>
      <w:r>
        <w:rPr>
          <w:rFonts w:hint="eastAsia" w:ascii="宋体" w:hAnsi="宋体"/>
          <w:kern w:val="0"/>
          <w:sz w:val="24"/>
        </w:rPr>
        <w:t>年</w:t>
      </w:r>
      <w:r>
        <w:rPr>
          <w:kern w:val="0"/>
          <w:sz w:val="24"/>
        </w:rPr>
        <w:t xml:space="preserve">     </w:t>
      </w:r>
      <w:r>
        <w:rPr>
          <w:rFonts w:hint="eastAsia" w:ascii="宋体" w:hAnsi="宋体"/>
          <w:kern w:val="0"/>
          <w:sz w:val="24"/>
        </w:rPr>
        <w:t>月—</w:t>
      </w:r>
      <w:r>
        <w:rPr>
          <w:kern w:val="0"/>
          <w:sz w:val="24"/>
        </w:rPr>
        <w:t xml:space="preserve">     </w:t>
      </w:r>
      <w:r>
        <w:rPr>
          <w:rFonts w:hint="eastAsia" w:ascii="宋体" w:hAnsi="宋体"/>
          <w:kern w:val="0"/>
          <w:sz w:val="24"/>
        </w:rPr>
        <w:t>月</w:t>
      </w:r>
    </w:p>
    <w:tbl>
      <w:tblPr>
        <w:tblStyle w:val="3"/>
        <w:tblpPr w:leftFromText="180" w:rightFromText="180" w:vertAnchor="page" w:horzAnchor="margin" w:tblpY="3826"/>
        <w:tblW w:w="1432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1632"/>
        <w:gridCol w:w="2159"/>
        <w:gridCol w:w="1260"/>
        <w:gridCol w:w="720"/>
        <w:gridCol w:w="720"/>
        <w:gridCol w:w="669"/>
        <w:gridCol w:w="417"/>
        <w:gridCol w:w="720"/>
        <w:gridCol w:w="720"/>
        <w:gridCol w:w="540"/>
        <w:gridCol w:w="720"/>
        <w:gridCol w:w="788"/>
        <w:gridCol w:w="900"/>
        <w:gridCol w:w="720"/>
        <w:gridCol w:w="668"/>
        <w:gridCol w:w="5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5" w:hRule="atLeast"/>
        </w:trPr>
        <w:tc>
          <w:tcPr>
            <w:tcW w:w="45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63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报 告 名 称</w:t>
            </w:r>
          </w:p>
        </w:tc>
        <w:tc>
          <w:tcPr>
            <w:tcW w:w="21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报告提交单位</w:t>
            </w:r>
          </w:p>
        </w:tc>
        <w:tc>
          <w:tcPr>
            <w:tcW w:w="12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评审机构</w:t>
            </w:r>
          </w:p>
        </w:tc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评审文号</w:t>
            </w:r>
          </w:p>
        </w:tc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评审时间</w:t>
            </w:r>
          </w:p>
        </w:tc>
        <w:tc>
          <w:tcPr>
            <w:tcW w:w="66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报告类型</w:t>
            </w:r>
          </w:p>
        </w:tc>
        <w:tc>
          <w:tcPr>
            <w:tcW w:w="4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矿种</w:t>
            </w:r>
          </w:p>
        </w:tc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矿床规模</w:t>
            </w:r>
          </w:p>
        </w:tc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工作程度</w:t>
            </w:r>
          </w:p>
        </w:tc>
        <w:tc>
          <w:tcPr>
            <w:tcW w:w="294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评审资源储量</w:t>
            </w:r>
          </w:p>
        </w:tc>
        <w:tc>
          <w:tcPr>
            <w:tcW w:w="7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备案文号</w:t>
            </w:r>
          </w:p>
        </w:tc>
        <w:tc>
          <w:tcPr>
            <w:tcW w:w="6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备案时间</w:t>
            </w:r>
          </w:p>
        </w:tc>
        <w:tc>
          <w:tcPr>
            <w:tcW w:w="51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0" w:hRule="atLeast"/>
        </w:trPr>
        <w:tc>
          <w:tcPr>
            <w:tcW w:w="45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63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1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6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单位</w:t>
            </w: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储量</w:t>
            </w:r>
          </w:p>
        </w:tc>
        <w:tc>
          <w:tcPr>
            <w:tcW w:w="7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基础储量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资源量</w:t>
            </w:r>
          </w:p>
        </w:tc>
        <w:tc>
          <w:tcPr>
            <w:tcW w:w="7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66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51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3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45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3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noWrap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6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51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>
      <w:pPr>
        <w:widowControl/>
        <w:ind w:right="-1342" w:rightChars="-639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填报单位章：                                                                              填报时间：</w:t>
      </w:r>
      <w:r>
        <w:rPr>
          <w:kern w:val="0"/>
          <w:sz w:val="24"/>
        </w:rPr>
        <w:t xml:space="preserve">200    </w:t>
      </w:r>
      <w:r>
        <w:rPr>
          <w:rFonts w:hint="eastAsia" w:ascii="宋体" w:hAnsi="宋体" w:cs="宋体"/>
          <w:kern w:val="0"/>
          <w:sz w:val="24"/>
        </w:rPr>
        <w:t>年</w:t>
      </w:r>
      <w:r>
        <w:rPr>
          <w:kern w:val="0"/>
          <w:sz w:val="24"/>
        </w:rPr>
        <w:t xml:space="preserve">    </w:t>
      </w:r>
      <w:r>
        <w:rPr>
          <w:rFonts w:hint="eastAsia" w:ascii="宋体" w:hAnsi="宋体" w:cs="宋体"/>
          <w:kern w:val="0"/>
          <w:sz w:val="24"/>
        </w:rPr>
        <w:t>月</w:t>
      </w:r>
    </w:p>
    <w:p>
      <w:pPr>
        <w:widowControl/>
        <w:ind w:right="-1342" w:rightChars="-639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注：报告类型指：地质勘查报告（包括：预查、普查、详查、勘探等）、生产地质报告、核实报告、闭坑报告、压覆报告等。</w:t>
      </w:r>
    </w:p>
    <w:p>
      <w:pPr>
        <w:rPr>
          <w:rFonts w:hint="eastAsia"/>
        </w:rPr>
      </w:pPr>
    </w:p>
    <w:p>
      <w:pPr>
        <w:rPr>
          <w:sz w:val="28"/>
          <w:szCs w:val="28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AE7417"/>
    <w:rsid w:val="7813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2021-04-12T15:41:00Z</dcterms:created>
  <dc:creator>lenovo</dc:creator>
  <cp:lastModifiedBy>雨露</cp:lastModifiedBy>
  <dcterms:modified xsi:type="dcterms:W3CDTF">2021-04-13T07:03:53Z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FE9EF0B0D0284E31998E125A90243EA1</vt:lpwstr>
  </property>
</Properties>
</file>