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140" w:afterAutospacing="0"/>
        <w:ind w:left="0" w:right="0" w:firstLine="0"/>
        <w:jc w:val="center"/>
        <w:rPr>
          <w:rStyle w:val="8"/>
          <w:rFonts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新发现矿种公告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20" w:lineRule="atLeast"/>
        <w:ind w:left="0" w:right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（中华人民共和国国土资源部公告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2011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年 第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 30 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号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20" w:lineRule="atLeast"/>
        <w:ind w:left="0" w:right="0" w:firstLine="54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根据《中华人民共和国矿产资源法实施细则》的有关规定，经国务院批准，现将我国新发现的页岩气予以公布。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20" w:lineRule="atLeast"/>
        <w:ind w:left="0" w:right="0" w:firstLine="4911" w:firstLineChars="1754"/>
      </w:pP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中华人民共和国国土资源部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20" w:lineRule="atLeast"/>
        <w:ind w:left="0" w:right="0" w:firstLine="540"/>
        <w:jc w:val="righ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2011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日 </w:t>
      </w:r>
    </w:p>
    <w:p>
      <w:pPr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新发现矿种公告</w:t>
      </w:r>
    </w:p>
    <w:tbl>
      <w:tblPr>
        <w:tblStyle w:val="6"/>
        <w:tblpPr w:leftFromText="180" w:rightFromText="180" w:vertAnchor="text" w:horzAnchor="page" w:tblpX="777" w:tblpY="1301"/>
        <w:tblOverlap w:val="never"/>
        <w:tblW w:w="106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850"/>
        <w:gridCol w:w="1102"/>
        <w:gridCol w:w="1271"/>
        <w:gridCol w:w="1150"/>
        <w:gridCol w:w="1846"/>
        <w:gridCol w:w="2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6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</w:rPr>
              <w:t>矿种名称</w:t>
            </w:r>
          </w:p>
        </w:tc>
        <w:tc>
          <w:tcPr>
            <w:tcW w:w="185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发现单位</w:t>
            </w:r>
          </w:p>
        </w:tc>
        <w:tc>
          <w:tcPr>
            <w:tcW w:w="110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发现时间</w:t>
            </w:r>
          </w:p>
        </w:tc>
        <w:tc>
          <w:tcPr>
            <w:tcW w:w="127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主要用途</w:t>
            </w:r>
          </w:p>
        </w:tc>
        <w:tc>
          <w:tcPr>
            <w:tcW w:w="115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产地名称</w:t>
            </w:r>
          </w:p>
        </w:tc>
        <w:tc>
          <w:tcPr>
            <w:tcW w:w="400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产地地理坐标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26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5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0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7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5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4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经度</w:t>
            </w:r>
          </w:p>
        </w:tc>
        <w:tc>
          <w:tcPr>
            <w:tcW w:w="21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8" w:hRule="atLeast"/>
        </w:trPr>
        <w:tc>
          <w:tcPr>
            <w:tcW w:w="126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页岩气</w:t>
            </w:r>
          </w:p>
        </w:tc>
        <w:tc>
          <w:tcPr>
            <w:tcW w:w="18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国土资源部油气资源战略研究中心、重庆市国土资源和房屋管理局、中国地质大学（北京）、重庆地质矿产研究院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  <w:t>2009年11月</w:t>
            </w:r>
          </w:p>
        </w:tc>
        <w:tc>
          <w:tcPr>
            <w:tcW w:w="12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  <w:t>民用和工业燃料，化工和发电</w:t>
            </w:r>
          </w:p>
        </w:tc>
        <w:tc>
          <w:tcPr>
            <w:tcW w:w="11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  <w:t>彭水县</w:t>
            </w:r>
          </w:p>
        </w:tc>
        <w:tc>
          <w:tcPr>
            <w:tcW w:w="184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108°24′30″</w:t>
            </w:r>
          </w:p>
        </w:tc>
        <w:tc>
          <w:tcPr>
            <w:tcW w:w="21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29°41′42″</w:t>
            </w:r>
          </w:p>
        </w:tc>
      </w:tr>
    </w:tbl>
    <w:p>
      <w:pPr>
        <w:jc w:val="center"/>
        <w:rPr>
          <w:rFonts w:hint="eastAsia" w:ascii="华文中宋" w:hAnsi="华文中宋" w:eastAsia="华文中宋"/>
          <w:sz w:val="28"/>
          <w:szCs w:val="28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 w:line="320" w:lineRule="atLeast"/>
        <w:ind w:left="0" w:right="0" w:firstLine="54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2021-04-14T15:37:05Z</dcterms:created>
  <dc:creator>lenovo</dc:creator>
  <cp:lastModifiedBy>雨露</cp:lastModifiedBy>
  <dcterms:modified xsi:type="dcterms:W3CDTF">2021-04-14T15:43:37Z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D6324FF848BB4347AE8DFDFD859704DF</vt:lpwstr>
  </property>
</Properties>
</file>