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0" w:afterAutospacing="0" w:line="600" w:lineRule="exact"/>
        <w:jc w:val="center"/>
        <w:textAlignment w:val="auto"/>
        <w:rPr>
          <w:b/>
          <w:bCs/>
          <w:color w:val="333333"/>
          <w:sz w:val="36"/>
          <w:szCs w:val="36"/>
          <w:bdr w:val="none" w:color="auto" w:sz="0" w:space="0"/>
          <w:shd w:val="clear" w:fill="FFFFFF"/>
        </w:rPr>
      </w:pPr>
      <w:r>
        <w:rPr>
          <w:rFonts w:hint="eastAsia"/>
          <w:b/>
          <w:bCs/>
          <w:sz w:val="36"/>
          <w:szCs w:val="36"/>
          <w:lang w:val="en-US" w:eastAsia="zh-CN"/>
        </w:rPr>
        <w:t xml:space="preserve"> </w:t>
      </w:r>
      <w:r>
        <w:rPr>
          <w:b/>
          <w:bCs/>
          <w:color w:val="333333"/>
          <w:sz w:val="36"/>
          <w:szCs w:val="36"/>
          <w:bdr w:val="none" w:color="auto" w:sz="0" w:space="0"/>
          <w:shd w:val="clear" w:fill="FFFFFF"/>
        </w:rPr>
        <w:t>国土资源部关于转发矿泉水、地热水管理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0" w:afterAutospacing="0" w:line="600" w:lineRule="exact"/>
        <w:jc w:val="center"/>
        <w:textAlignment w:val="auto"/>
        <w:rPr>
          <w:b/>
          <w:bCs/>
          <w:sz w:val="36"/>
          <w:szCs w:val="36"/>
        </w:rPr>
      </w:pPr>
      <w:r>
        <w:rPr>
          <w:b/>
          <w:bCs/>
          <w:color w:val="333333"/>
          <w:sz w:val="36"/>
          <w:szCs w:val="36"/>
          <w:bdr w:val="none" w:color="auto" w:sz="0" w:space="0"/>
          <w:shd w:val="clear" w:fill="FFFFFF"/>
        </w:rPr>
        <w:t>职责分工文件的通知</w:t>
      </w:r>
    </w:p>
    <w:p>
      <w:pPr>
        <w:keepNext w:val="0"/>
        <w:keepLines w:val="0"/>
        <w:widowControl/>
        <w:numPr>
          <w:numId w:val="0"/>
        </w:numPr>
        <w:suppressLineNumbers w:val="0"/>
        <w:spacing w:before="0" w:beforeAutospacing="1" w:after="0" w:afterAutospacing="1"/>
        <w:jc w:val="center"/>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rPr>
        <w:t>国土资发[1999]25号</w:t>
      </w:r>
      <w:r>
        <w:rPr>
          <w:rFonts w:hint="eastAsia" w:ascii="宋体" w:hAnsi="宋体" w:eastAsia="宋体" w:cs="宋体"/>
          <w:sz w:val="28"/>
          <w:szCs w:val="28"/>
          <w:lang w:eastAsia="zh-CN"/>
        </w:rPr>
        <w:t>）</w:t>
      </w:r>
    </w:p>
    <w:p>
      <w:pPr>
        <w:keepNext w:val="0"/>
        <w:keepLines w:val="0"/>
        <w:pageBreakBefore w:val="0"/>
        <w:widowControl/>
        <w:suppressLineNumbers w:val="0"/>
        <w:kinsoku/>
        <w:wordWrap/>
        <w:overflowPunct/>
        <w:topLinePunct w:val="0"/>
        <w:autoSpaceDE/>
        <w:autoSpaceDN/>
        <w:bidi w:val="0"/>
        <w:adjustRightInd/>
        <w:snapToGrid/>
        <w:spacing w:afterAutospacing="0"/>
        <w:ind w:left="280" w:hanging="280" w:hangingChars="100"/>
        <w:jc w:val="both"/>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各省、自治区、</w:t>
      </w:r>
      <w:r>
        <w:rPr>
          <w:rFonts w:hint="eastAsia" w:ascii="宋体" w:hAnsi="宋体" w:eastAsia="宋体" w:cs="宋体"/>
          <w:kern w:val="0"/>
          <w:sz w:val="28"/>
          <w:szCs w:val="28"/>
          <w:lang w:val="en-US" w:eastAsia="zh-CN" w:bidi="ar"/>
        </w:rPr>
        <w:fldChar w:fldCharType="begin"/>
      </w:r>
      <w:r>
        <w:rPr>
          <w:rFonts w:hint="eastAsia" w:ascii="宋体" w:hAnsi="宋体" w:eastAsia="宋体" w:cs="宋体"/>
          <w:kern w:val="0"/>
          <w:sz w:val="28"/>
          <w:szCs w:val="28"/>
          <w:lang w:val="en-US" w:eastAsia="zh-CN" w:bidi="ar"/>
        </w:rPr>
        <w:instrText xml:space="preserve"> HYPERLINK "https://www.66law.cn/hlzzq/" \o "直辖市" \t "https://www.66law.cn/tiaoli/_blank" </w:instrText>
      </w:r>
      <w:r>
        <w:rPr>
          <w:rFonts w:hint="eastAsia" w:ascii="宋体" w:hAnsi="宋体" w:eastAsia="宋体" w:cs="宋体"/>
          <w:kern w:val="0"/>
          <w:sz w:val="28"/>
          <w:szCs w:val="28"/>
          <w:lang w:val="en-US" w:eastAsia="zh-CN" w:bidi="ar"/>
        </w:rPr>
        <w:fldChar w:fldCharType="separate"/>
      </w:r>
      <w:r>
        <w:rPr>
          <w:rStyle w:val="7"/>
          <w:rFonts w:hint="eastAsia" w:ascii="宋体" w:hAnsi="宋体" w:eastAsia="宋体" w:cs="宋体"/>
          <w:sz w:val="28"/>
          <w:szCs w:val="28"/>
        </w:rPr>
        <w:t>直辖市</w:t>
      </w:r>
      <w:r>
        <w:rPr>
          <w:rFonts w:hint="eastAsia" w:ascii="宋体" w:hAnsi="宋体" w:eastAsia="宋体" w:cs="宋体"/>
          <w:kern w:val="0"/>
          <w:sz w:val="28"/>
          <w:szCs w:val="28"/>
          <w:lang w:val="en-US" w:eastAsia="zh-CN" w:bidi="ar"/>
        </w:rPr>
        <w:fldChar w:fldCharType="end"/>
      </w:r>
      <w:r>
        <w:rPr>
          <w:rFonts w:hint="eastAsia" w:ascii="宋体" w:hAnsi="宋体" w:eastAsia="宋体" w:cs="宋体"/>
          <w:kern w:val="0"/>
          <w:sz w:val="28"/>
          <w:szCs w:val="28"/>
          <w:lang w:val="en-US" w:eastAsia="zh-CN" w:bidi="ar"/>
        </w:rPr>
        <w:t>地质矿产厅（局）：</w:t>
      </w:r>
    </w:p>
    <w:p>
      <w:pPr>
        <w:keepNext w:val="0"/>
        <w:keepLines w:val="0"/>
        <w:pageBreakBefore w:val="0"/>
        <w:widowControl/>
        <w:suppressLineNumbers w:val="0"/>
        <w:kinsoku/>
        <w:wordWrap/>
        <w:overflowPunct/>
        <w:topLinePunct w:val="0"/>
        <w:autoSpaceDE/>
        <w:autoSpaceDN/>
        <w:bidi w:val="0"/>
        <w:adjustRightInd/>
        <w:snapToGrid/>
        <w:spacing w:afterAutospacing="0"/>
        <w:ind w:left="279" w:leftChars="133" w:firstLine="560" w:firstLineChars="200"/>
        <w:jc w:val="both"/>
        <w:textAlignment w:val="auto"/>
        <w:rPr>
          <w:rFonts w:hint="eastAsia" w:ascii="宋体" w:hAnsi="宋体" w:eastAsia="宋体" w:cs="宋体"/>
          <w:sz w:val="28"/>
          <w:szCs w:val="28"/>
        </w:rPr>
      </w:pPr>
      <w:bookmarkStart w:id="0" w:name="_GoBack"/>
      <w:bookmarkEnd w:id="0"/>
      <w:r>
        <w:rPr>
          <w:rFonts w:hint="eastAsia" w:ascii="宋体" w:hAnsi="宋体" w:eastAsia="宋体" w:cs="宋体"/>
          <w:kern w:val="0"/>
          <w:sz w:val="28"/>
          <w:szCs w:val="28"/>
          <w:lang w:val="en-US" w:eastAsia="zh-CN" w:bidi="ar"/>
        </w:rPr>
        <w:t>现将中央机构编制委员会办公室《关于矿泉水地热水管理职责分工问题的通知》（中编办发[1998] 14号）转发你们，请认真贯彻落实。同时，做好以下工作：</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 xml:space="preserve">    一、贯彻落实国务院《取水许可制度实施办法》。依照《取水许可制度实施办法》（国务院1993年第119号令）的有关规定，在办理取水许可证过程中，对年度计划可采总量、井点总体布局和取水层位，对超采区和禁止取水区，需由县级以上人民政府水行政主管部门会同地质矿产行政主管部门确定或者划定的，须经地质矿产行政主管部门审核同意并签署意见的，以及经授权由地质矿产行政主管部门颁发取水许可证的，地质矿产行政主管部门应当做好有关各项工作。</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 xml:space="preserve">    二、矿产资源勘查依法实行统一的区块登记管理制度。对申请从事矿泉水、地热水勘查的单位和个人，地矿行政主管部门应当严格按照《矿产资源勘查登记管理办法》的有关规定及《关于授权颁发勘查许可证、采矿许可证的规定》（地发[1998] 48号）规定的权限进行审批、颁发勘查许可证，依法收取探矿权使用费。要依法加强矿泉水、地热水的评价管理工作，组织做好鉴定审批工作。没有办理勘查许可证进行矿泉水、地热水勘查的单位和个人，应限期到地矿行政主管部门依法补办勘查登记审批手续，领取勘查许可证，补交探矿权使用费。</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 xml:space="preserve">    三、对申请从事矿泉水、地热水开采的单位和个人，省级地矿行政主管部门应当严格按照《矿产资源登记管理办法》和地发[1998] 48号规定的权限进行审批，并凭取水许可证颁发采矿许可证，依法收取采矿权使用费。</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 xml:space="preserve">     对未办理采矿许可证已经从事矿泉水、地热水开采的单位和个人，省级地矿行政主管部门应当自发文之日起，通知其限期依法补办有关手续，缴纳有关费用。逾期未办理手续的，依照矿产资源</w:t>
      </w:r>
      <w:r>
        <w:rPr>
          <w:rFonts w:hint="eastAsia" w:ascii="宋体" w:hAnsi="宋体" w:eastAsia="宋体" w:cs="宋体"/>
          <w:kern w:val="0"/>
          <w:sz w:val="28"/>
          <w:szCs w:val="28"/>
          <w:lang w:val="en-US" w:eastAsia="zh-CN" w:bidi="ar"/>
        </w:rPr>
        <w:fldChar w:fldCharType="begin"/>
      </w:r>
      <w:r>
        <w:rPr>
          <w:rFonts w:hint="eastAsia" w:ascii="宋体" w:hAnsi="宋体" w:eastAsia="宋体" w:cs="宋体"/>
          <w:kern w:val="0"/>
          <w:sz w:val="28"/>
          <w:szCs w:val="28"/>
          <w:lang w:val="en-US" w:eastAsia="zh-CN" w:bidi="ar"/>
        </w:rPr>
        <w:instrText xml:space="preserve"> HYPERLINK "https://www.66law.cn//www.66law.cn/tiaoli/" \o "法律法规" \t "https://www.66law.cn/tiaoli/_blank" </w:instrText>
      </w:r>
      <w:r>
        <w:rPr>
          <w:rFonts w:hint="eastAsia" w:ascii="宋体" w:hAnsi="宋体" w:eastAsia="宋体" w:cs="宋体"/>
          <w:kern w:val="0"/>
          <w:sz w:val="28"/>
          <w:szCs w:val="28"/>
          <w:lang w:val="en-US" w:eastAsia="zh-CN" w:bidi="ar"/>
        </w:rPr>
        <w:fldChar w:fldCharType="separate"/>
      </w:r>
      <w:r>
        <w:rPr>
          <w:rStyle w:val="7"/>
          <w:rFonts w:hint="eastAsia" w:ascii="宋体" w:hAnsi="宋体" w:eastAsia="宋体" w:cs="宋体"/>
          <w:sz w:val="28"/>
          <w:szCs w:val="28"/>
        </w:rPr>
        <w:t>法律法规</w:t>
      </w:r>
      <w:r>
        <w:rPr>
          <w:rFonts w:hint="eastAsia" w:ascii="宋体" w:hAnsi="宋体" w:eastAsia="宋体" w:cs="宋体"/>
          <w:kern w:val="0"/>
          <w:sz w:val="28"/>
          <w:szCs w:val="28"/>
          <w:lang w:val="en-US" w:eastAsia="zh-CN" w:bidi="ar"/>
        </w:rPr>
        <w:fldChar w:fldCharType="end"/>
      </w:r>
      <w:r>
        <w:rPr>
          <w:rFonts w:hint="eastAsia" w:ascii="宋体" w:hAnsi="宋体" w:eastAsia="宋体" w:cs="宋体"/>
          <w:kern w:val="0"/>
          <w:sz w:val="28"/>
          <w:szCs w:val="28"/>
          <w:lang w:val="en-US" w:eastAsia="zh-CN" w:bidi="ar"/>
        </w:rPr>
        <w:t>的有关规定予以处罚。</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 xml:space="preserve">    四、企事业单位开采矿泉水、地热水应当缴纳矿产资源补偿费。地矿行政主管部门应按《矿产资源补偿费征收管理规定》，切实做好补偿费的征收管理工作。</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 xml:space="preserve">    矿泉水、地热水是宝贵的矿产资源，要合理有效地开发利用，加强资源保护。地质矿产行政主管部门应遵《矿产资源法》等有关规定，加强资源开发监督管理和资源保护工作，防止因不合理开采引起资源破坏和枯竭，防止水质污染和诱发地质灾害，保护好地质环境，以利于资源的续利用。</w:t>
      </w:r>
    </w:p>
    <w:p>
      <w:pPr>
        <w:rPr>
          <w:rFonts w:hint="default" w:eastAsiaTheme="minorEastAsia"/>
          <w:lang w:val="en-US" w:eastAsia="zh-CN"/>
        </w:rPr>
      </w:pPr>
      <w:r>
        <w:rPr>
          <w:rFonts w:hint="eastAsia" w:ascii="宋体" w:hAnsi="宋体" w:eastAsia="宋体" w:cs="宋体"/>
          <w:sz w:val="28"/>
          <w:szCs w:val="28"/>
          <w:lang w:val="en-US" w:eastAsia="zh-CN"/>
        </w:rPr>
        <w:t xml:space="preserve">                                                                          </w:t>
      </w: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4A1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333333"/>
      <w:u w:val="none"/>
    </w:rPr>
  </w:style>
  <w:style w:type="character" w:styleId="6">
    <w:name w:val="HTML Definition"/>
    <w:basedOn w:val="4"/>
    <w:uiPriority w:val="0"/>
    <w:rPr>
      <w:rFonts w:ascii="Arial" w:hAnsi="Arial" w:cs="Arial"/>
    </w:rPr>
  </w:style>
  <w:style w:type="character" w:styleId="7">
    <w:name w:val="Hyperlink"/>
    <w:basedOn w:val="4"/>
    <w:uiPriority w:val="0"/>
    <w:rPr>
      <w:color w:val="333333"/>
      <w:u w:val="none"/>
    </w:rPr>
  </w:style>
  <w:style w:type="character" w:customStyle="1" w:styleId="8">
    <w:name w:val="focus2"/>
    <w:basedOn w:val="4"/>
    <w:uiPriority w:val="0"/>
  </w:style>
  <w:style w:type="character" w:customStyle="1" w:styleId="9">
    <w:name w:val="hitclass2"/>
    <w:basedOn w:val="4"/>
    <w:uiPriority w:val="0"/>
  </w:style>
  <w:style w:type="character" w:customStyle="1" w:styleId="10">
    <w:name w:val="currenthit3"/>
    <w:basedOn w:val="4"/>
    <w:uiPriority w:val="0"/>
  </w:style>
  <w:style w:type="character" w:customStyle="1" w:styleId="11">
    <w:name w:val="hover3"/>
    <w:basedOn w:val="4"/>
    <w:uiPriority w:val="0"/>
    <w:rPr>
      <w:color w:val="666666"/>
      <w:shd w:val="clear" w:fill="EAEAEA"/>
    </w:rPr>
  </w:style>
  <w:style w:type="character" w:customStyle="1" w:styleId="12">
    <w:name w:val="hover4"/>
    <w:basedOn w:val="4"/>
    <w:uiPriority w:val="0"/>
    <w:rPr>
      <w:color w:val="666666"/>
      <w:shd w:val="clear" w:fill="EAEAEA"/>
    </w:rPr>
  </w:style>
  <w:style w:type="character" w:customStyle="1" w:styleId="13">
    <w:name w:val="hover5"/>
    <w:basedOn w:val="4"/>
    <w:uiPriority w:val="0"/>
    <w:rPr>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2021-04-12T07:02:26Z</dcterms:created>
  <dc:creator>Administrator</dc:creator>
  <cp:lastModifiedBy>雨露</cp:lastModifiedBy>
  <dcterms:modified xsi:type="dcterms:W3CDTF">2021-04-12T07:07:10Z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0D0AC2B5AEF044C393A2587C1CD67809</vt:lpwstr>
  </property>
</Properties>
</file>