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国土资源部办公厅关于印发油气勘查实施方案</w:t>
      </w:r>
    </w:p>
    <w:p>
      <w:pPr>
        <w:jc w:val="center"/>
        <w:rPr>
          <w:rFonts w:hint="eastAsia"/>
          <w:b/>
          <w:bCs/>
          <w:sz w:val="36"/>
          <w:szCs w:val="36"/>
        </w:rPr>
      </w:pPr>
      <w:r>
        <w:rPr>
          <w:rFonts w:hint="eastAsia"/>
          <w:b/>
          <w:bCs/>
          <w:sz w:val="36"/>
          <w:szCs w:val="36"/>
        </w:rPr>
        <w:t>及开发利用方案编写大纲的通知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0" w:afterAutospacing="0" w:line="540" w:lineRule="atLeast"/>
        <w:ind w:left="0" w:right="0"/>
        <w:jc w:val="center"/>
        <w:rPr>
          <w:rFonts w:hint="eastAsia" w:ascii="宋体" w:hAnsi="宋体" w:eastAsia="宋体" w:cs="宋体"/>
          <w:b w:val="0"/>
          <w:bCs w:val="0"/>
          <w:color w:val="000000"/>
          <w:lang w:eastAsia="zh-CN"/>
        </w:rPr>
      </w:pPr>
      <w:r>
        <w:rPr>
          <w:rFonts w:hint="eastAsia" w:ascii="宋体" w:hAnsi="宋体" w:eastAsia="宋体" w:cs="宋体"/>
          <w:b w:val="0"/>
          <w:bCs w:val="0"/>
          <w:i w:val="0"/>
          <w:iCs w:val="0"/>
          <w:caps w:val="0"/>
          <w:color w:val="000000"/>
          <w:spacing w:val="0"/>
          <w:sz w:val="27"/>
          <w:szCs w:val="27"/>
          <w:bdr w:val="none" w:color="auto" w:sz="0" w:space="0"/>
          <w:shd w:val="clear" w:fill="FFFFFF"/>
          <w:lang w:eastAsia="zh-CN"/>
        </w:rPr>
        <w:t>（</w:t>
      </w:r>
      <w:r>
        <w:rPr>
          <w:rFonts w:hint="eastAsia" w:ascii="宋体" w:hAnsi="宋体" w:eastAsia="宋体" w:cs="宋体"/>
          <w:b w:val="0"/>
          <w:bCs w:val="0"/>
          <w:i w:val="0"/>
          <w:iCs w:val="0"/>
          <w:caps w:val="0"/>
          <w:color w:val="000000"/>
          <w:spacing w:val="0"/>
          <w:sz w:val="27"/>
          <w:szCs w:val="27"/>
          <w:bdr w:val="none" w:color="auto" w:sz="0" w:space="0"/>
          <w:shd w:val="clear" w:fill="FFFFFF"/>
        </w:rPr>
        <w:t>国土资规〔20</w:t>
      </w:r>
      <w:bookmarkStart w:id="0" w:name="_GoBack"/>
      <w:bookmarkEnd w:id="0"/>
      <w:r>
        <w:rPr>
          <w:rFonts w:hint="eastAsia" w:ascii="宋体" w:hAnsi="宋体" w:eastAsia="宋体" w:cs="宋体"/>
          <w:b w:val="0"/>
          <w:bCs w:val="0"/>
          <w:i w:val="0"/>
          <w:iCs w:val="0"/>
          <w:caps w:val="0"/>
          <w:color w:val="000000"/>
          <w:spacing w:val="0"/>
          <w:sz w:val="27"/>
          <w:szCs w:val="27"/>
          <w:bdr w:val="none" w:color="auto" w:sz="0" w:space="0"/>
          <w:shd w:val="clear" w:fill="FFFFFF"/>
        </w:rPr>
        <w:t>16〕18号</w:t>
      </w:r>
      <w:r>
        <w:rPr>
          <w:rFonts w:hint="eastAsia" w:ascii="宋体" w:hAnsi="宋体" w:eastAsia="宋体" w:cs="宋体"/>
          <w:b w:val="0"/>
          <w:bCs w:val="0"/>
          <w:i w:val="0"/>
          <w:iCs w:val="0"/>
          <w:caps w:val="0"/>
          <w:color w:val="000000"/>
          <w:spacing w:val="0"/>
          <w:sz w:val="27"/>
          <w:szCs w:val="27"/>
          <w:bdr w:val="none" w:color="auto" w:sz="0" w:space="0"/>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中国石油天然气股份有限公司、中国石油化工股份有限公司、中海石油（中国）有限公司、陕西延长石油（集团）有限责任公司、中联煤层气有限责任公司、各地方油田及有关单位：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　　为加强油气（包括石油、天然气、煤层气、页岩气，下同）矿业权管理，规范油气勘查实施方案和开发利用方案编写格式和内容，根据《矿产资源勘查区块登记管理办法》和《矿产资源开采登记管理办法》的有关规定，我部修改完善了《油气勘查实施方案编写大纲》和《油气开发利用方案编写大纲》（以下简称《大纲》），现印发给你们，并就有关事项通知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　　一、自本通知发布之日起，企业申请油气探矿权或采矿权时，提交的勘查实施方案或开发利用方案，应符合《大纲》格式和内容要求，企业对方案编制依据的真实性、可靠性，方案的科学性、可行性负责。涉及国家秘密的，应标注密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　　二、登记机关对勘查实施方案或开发利用方案中确定的勘查投入、采收率、回收率、共伴生资源综合利用率等是否符合规定要求，储量、产能和开采期限是否匹配等进行审查。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　　三、油气勘查实施方案或开发利用方案是油气资源勘查开采监督管理的主要依据之一。矿业权人在勘查开采过程中根据实际情况对两方案进行调整的，应符合法律法规有关规定，并在年度报告中说明调整的内容和理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rPr>
        <w:t>　　四、本通知自发布之日起施行，有效期5年。《国土资源部办公厅关于印发油气（含煤层气）勘查实施方案及开发利用方案编写大纲的通知》（国土资厅发〔2009〕63号）同时废止。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hanging="840" w:hangingChars="300"/>
        <w:jc w:val="both"/>
        <w:textAlignment w:val="auto"/>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附件：</w:t>
      </w:r>
      <w: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1.</w: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instrText xml:space="preserve"> HYPERLINK "http://www.mnr.gov.cn/gk/tzgg/201612/P020180703562492486391.doc" \t "http://www.mnr.gov.cn/gk/tzgg/201612/_blank" </w:instrTex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8"/>
          <w:szCs w:val="28"/>
          <w:u w:val="none"/>
          <w:bdr w:val="none" w:color="auto" w:sz="0" w:space="0"/>
          <w:shd w:val="clear" w:fill="FFFFFF"/>
          <w14:textFill>
            <w14:solidFill>
              <w14:schemeClr w14:val="tx1"/>
            </w14:solidFill>
          </w14:textFill>
        </w:rPr>
        <w:t>油气勘查实施方案编写大纲</w:t>
      </w:r>
      <w:r>
        <w:rPr>
          <w:rStyle w:val="7"/>
          <w:rFonts w:hint="eastAsia" w:ascii="宋体" w:hAnsi="宋体" w:eastAsia="宋体" w:cs="宋体"/>
          <w:i w:val="0"/>
          <w:iCs w:val="0"/>
          <w:caps w:val="0"/>
          <w:color w:val="000000" w:themeColor="text1"/>
          <w:spacing w:val="0"/>
          <w:sz w:val="28"/>
          <w:szCs w:val="28"/>
          <w:u w:val="none"/>
          <w:bdr w:val="none" w:color="auto" w:sz="0" w:space="0"/>
          <w:shd w:val="clear" w:fill="FFFFFF"/>
          <w:lang w:val="en-US" w:eastAsia="zh-CN"/>
          <w14:textFill>
            <w14:solidFill>
              <w14:schemeClr w14:val="tx1"/>
            </w14:solidFill>
          </w14:textFill>
        </w:rPr>
        <w:t xml:space="preserve"> </w: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end"/>
      </w:r>
      <w: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br w:type="textWrapping"/>
      </w:r>
      <w: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2.</w: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begin"/>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instrText xml:space="preserve"> HYPERLINK "http://www.mnr.gov.cn/gk/tzgg/201612/P020180703562492992004.doc" \t "http://www.mnr.gov.cn/gk/tzgg/201612/_blank" </w:instrTex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8"/>
          <w:szCs w:val="28"/>
          <w:u w:val="none"/>
          <w:bdr w:val="none" w:color="auto" w:sz="0" w:space="0"/>
          <w:shd w:val="clear" w:fill="FFFFFF"/>
          <w14:textFill>
            <w14:solidFill>
              <w14:schemeClr w14:val="tx1"/>
            </w14:solidFill>
          </w14:textFill>
        </w:rPr>
        <w:t>油气开发利用方案编写大纲</w:t>
      </w: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5600" w:firstLineChars="2000"/>
        <w:jc w:val="both"/>
        <w:textAlignment w:val="auto"/>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8"/>
          <w:szCs w:val="28"/>
          <w:u w:val="none"/>
          <w:bdr w:val="none" w:color="auto" w:sz="0" w:space="0"/>
          <w:shd w:val="clear" w:fill="FFFFFF"/>
          <w:lang w:val="en-US" w:eastAsia="zh-CN" w:bidi="ar"/>
          <w14:textFill>
            <w14:solidFill>
              <w14:schemeClr w14:val="tx1"/>
            </w14:solidFill>
          </w14:textFill>
        </w:rPr>
        <w:t>国土资源部办公厅</w:t>
      </w:r>
    </w:p>
    <w:p>
      <w:pPr>
        <w:keepNext w:val="0"/>
        <w:keepLines w:val="0"/>
        <w:pageBreakBefore w:val="0"/>
        <w:kinsoku/>
        <w:wordWrap/>
        <w:overflowPunct/>
        <w:topLinePunct w:val="0"/>
        <w:autoSpaceDE/>
        <w:autoSpaceDN/>
        <w:bidi w:val="0"/>
        <w:adjustRightInd/>
        <w:snapToGrid/>
        <w:spacing w:line="520" w:lineRule="exact"/>
        <w:ind w:firstLine="5600" w:firstLineChars="2000"/>
        <w:jc w:val="both"/>
        <w:textAlignment w:val="auto"/>
        <w:rPr>
          <w:rFonts w:hint="eastAsia" w:ascii="宋体" w:hAnsi="宋体" w:eastAsia="宋体" w:cs="宋体"/>
          <w:i w:val="0"/>
          <w:iCs w:val="0"/>
          <w:caps w:val="0"/>
          <w:color w:val="000000"/>
          <w:spacing w:val="0"/>
          <w:sz w:val="28"/>
          <w:szCs w:val="28"/>
          <w:shd w:val="clear" w:fill="FFFFFF"/>
          <w:lang w:val="en-US"/>
        </w:rPr>
      </w:pPr>
      <w:r>
        <w:rPr>
          <w:rFonts w:hint="eastAsia" w:ascii="宋体" w:hAnsi="宋体" w:eastAsia="宋体" w:cs="宋体"/>
          <w:i w:val="0"/>
          <w:iCs w:val="0"/>
          <w:caps w:val="0"/>
          <w:color w:val="000000"/>
          <w:spacing w:val="0"/>
          <w:sz w:val="28"/>
          <w:szCs w:val="28"/>
          <w:shd w:val="clear" w:fill="FFFFFF"/>
          <w:lang w:val="en-US"/>
        </w:rPr>
        <w:t>2016年12月9日</w:t>
      </w:r>
    </w:p>
    <w:p>
      <w:pPr>
        <w:pStyle w:val="4"/>
        <w:spacing w:before="135" w:beforeAutospacing="0" w:after="135" w:afterAutospacing="0" w:line="420" w:lineRule="atLeast"/>
        <w:jc w:val="both"/>
        <w:rPr>
          <w:rFonts w:hint="default" w:ascii="方正小标宋_GBK" w:eastAsia="方正小标宋_GBK"/>
          <w:color w:val="000000"/>
          <w:sz w:val="36"/>
          <w:szCs w:val="36"/>
          <w:lang w:val="en-US" w:eastAsia="zh-CN"/>
        </w:rPr>
      </w:pPr>
      <w:r>
        <w:rPr>
          <w:rFonts w:hint="eastAsia" w:ascii="方正小标宋_GBK" w:eastAsia="方正小标宋_GBK"/>
          <w:color w:val="000000"/>
          <w:sz w:val="36"/>
          <w:szCs w:val="36"/>
          <w:lang w:eastAsia="zh-CN"/>
        </w:rPr>
        <w:t>附件</w:t>
      </w:r>
      <w:r>
        <w:rPr>
          <w:rFonts w:hint="eastAsia" w:ascii="方正小标宋_GBK" w:eastAsia="方正小标宋_GBK"/>
          <w:color w:val="000000"/>
          <w:sz w:val="36"/>
          <w:szCs w:val="36"/>
          <w:lang w:val="en-US" w:eastAsia="zh-CN"/>
        </w:rPr>
        <w:t>1：</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480" w:lineRule="exact"/>
        <w:jc w:val="center"/>
        <w:textAlignment w:val="auto"/>
        <w:rPr>
          <w:rFonts w:hint="eastAsia" w:ascii="方正小标宋_GBK" w:eastAsia="方正小标宋_GBK"/>
          <w:color w:val="000000"/>
          <w:sz w:val="36"/>
          <w:szCs w:val="36"/>
        </w:rPr>
      </w:pPr>
      <w:r>
        <w:rPr>
          <w:rFonts w:hint="eastAsia" w:ascii="方正小标宋_GBK" w:eastAsia="方正小标宋_GBK"/>
          <w:color w:val="000000"/>
          <w:sz w:val="36"/>
          <w:szCs w:val="36"/>
        </w:rPr>
        <w:t>油气勘查实施方案编写大纲</w:t>
      </w:r>
    </w:p>
    <w:p>
      <w:pPr>
        <w:pStyle w:val="4"/>
        <w:keepNext w:val="0"/>
        <w:keepLines w:val="0"/>
        <w:pageBreakBefore w:val="0"/>
        <w:widowControl w:val="0"/>
        <w:kinsoku/>
        <w:wordWrap/>
        <w:overflowPunct/>
        <w:topLinePunct w:val="0"/>
        <w:autoSpaceDE/>
        <w:autoSpaceDN/>
        <w:bidi w:val="0"/>
        <w:adjustRightInd w:val="0"/>
        <w:snapToGrid/>
        <w:spacing w:before="0" w:beforeAutospacing="0" w:after="0" w:afterAutospacing="0" w:line="480" w:lineRule="exact"/>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内封</w:t>
      </w:r>
    </w:p>
    <w:p>
      <w:pPr>
        <w:pStyle w:val="4"/>
        <w:keepNext w:val="0"/>
        <w:keepLines w:val="0"/>
        <w:pageBreakBefore w:val="0"/>
        <w:widowControl w:val="0"/>
        <w:kinsoku/>
        <w:wordWrap/>
        <w:overflowPunct/>
        <w:topLinePunct w:val="0"/>
        <w:autoSpaceDE/>
        <w:autoSpaceDN/>
        <w:bidi w:val="0"/>
        <w:adjustRightInd w:val="0"/>
        <w:snapToGrid/>
        <w:spacing w:before="0" w:beforeAutospacing="0" w:after="0" w:afterAutospacing="0" w:line="500" w:lineRule="exact"/>
        <w:ind w:firstLine="640" w:firstLineChars="200"/>
        <w:textAlignment w:val="auto"/>
        <w:rPr>
          <w:rFonts w:hint="eastAsia" w:ascii="黑体" w:hAnsi="黑体" w:eastAsia="黑体"/>
          <w:color w:val="000000"/>
          <w:sz w:val="32"/>
          <w:szCs w:val="32"/>
        </w:rPr>
      </w:pPr>
      <w:r>
        <w:rPr>
          <w:rFonts w:hint="eastAsia" w:ascii="仿宋_GB2312" w:eastAsia="仿宋_GB2312"/>
          <w:sz w:val="32"/>
          <w:szCs w:val="32"/>
        </w:rPr>
        <w:t>内容包括方案名称、申请人名称、编写单位、编写人、审核人、审核单位负责人、编写时间。</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00" w:lineRule="exact"/>
        <w:ind w:firstLine="640" w:firstLineChars="200"/>
        <w:textAlignment w:val="auto"/>
        <w:outlineLvl w:val="0"/>
        <w:rPr>
          <w:rFonts w:ascii="黑体" w:hAnsi="黑体" w:eastAsia="黑体"/>
          <w:color w:val="000000"/>
          <w:sz w:val="32"/>
          <w:szCs w:val="32"/>
        </w:rPr>
      </w:pPr>
      <w:r>
        <w:rPr>
          <w:rFonts w:hint="eastAsia" w:ascii="黑体" w:hAnsi="黑体" w:eastAsia="黑体"/>
          <w:color w:val="000000"/>
          <w:sz w:val="32"/>
          <w:szCs w:val="32"/>
        </w:rPr>
        <w:t>一、概况</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00" w:lineRule="exact"/>
        <w:ind w:firstLine="482"/>
        <w:textAlignment w:val="auto"/>
        <w:outlineLvl w:val="0"/>
        <w:rPr>
          <w:rFonts w:hint="eastAsia" w:ascii="楷体_GB2312" w:eastAsia="楷体_GB2312"/>
          <w:color w:val="000000"/>
          <w:sz w:val="32"/>
          <w:szCs w:val="32"/>
        </w:rPr>
      </w:pPr>
      <w:r>
        <w:rPr>
          <w:rFonts w:hint="eastAsia" w:ascii="楷体_GB2312" w:eastAsia="楷体_GB2312"/>
          <w:color w:val="000000"/>
          <w:sz w:val="32"/>
          <w:szCs w:val="32"/>
        </w:rPr>
        <w:t>（一）勘查区自然地理位置、交通状况</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00" w:lineRule="exact"/>
        <w:ind w:firstLine="482"/>
        <w:textAlignment w:val="auto"/>
        <w:outlineLvl w:val="0"/>
        <w:rPr>
          <w:rFonts w:hint="eastAsia" w:ascii="楷体_GB2312" w:eastAsia="楷体_GB2312"/>
          <w:color w:val="000000"/>
          <w:sz w:val="32"/>
          <w:szCs w:val="32"/>
        </w:rPr>
      </w:pPr>
      <w:r>
        <w:rPr>
          <w:rFonts w:hint="eastAsia" w:ascii="楷体_GB2312" w:eastAsia="楷体_GB2312"/>
          <w:color w:val="000000"/>
          <w:sz w:val="32"/>
          <w:szCs w:val="32"/>
        </w:rPr>
        <w:t>（二）申请设立探矿权基本情况</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简要描述申请设立探矿权基本情况，并按表1如实填写。</w:t>
      </w:r>
    </w:p>
    <w:p>
      <w:pPr>
        <w:pStyle w:val="4"/>
        <w:spacing w:before="0" w:beforeAutospacing="0" w:after="156" w:afterLines="50" w:afterAutospacing="0" w:line="420" w:lineRule="atLeast"/>
        <w:jc w:val="center"/>
        <w:rPr>
          <w:rFonts w:ascii="黑体" w:hAnsi="黑体" w:eastAsia="黑体"/>
          <w:color w:val="000000"/>
        </w:rPr>
      </w:pPr>
      <w:r>
        <w:rPr>
          <w:rFonts w:hint="eastAsia" w:ascii="黑体" w:hAnsi="黑体" w:eastAsia="黑体"/>
          <w:color w:val="000000"/>
        </w:rPr>
        <w:t>表1 探矿权申请基本信息表</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073"/>
        <w:gridCol w:w="4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9"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项目</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9"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探矿权名称</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9"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探矿权性质</w:t>
            </w:r>
            <w:r>
              <w:rPr>
                <w:rFonts w:hint="eastAsia" w:ascii="仿宋_GB2312" w:hAnsi="Times New Roman" w:eastAsia="仿宋_GB2312"/>
                <w:color w:val="000000"/>
                <w:szCs w:val="21"/>
                <w:vertAlign w:val="superscript"/>
              </w:rPr>
              <w:t>①</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申请人</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勘查单位及资质</w:t>
            </w:r>
            <w:r>
              <w:rPr>
                <w:rFonts w:hint="eastAsia" w:ascii="仿宋_GB2312" w:hAnsi="Times New Roman" w:eastAsia="仿宋_GB2312"/>
                <w:color w:val="000000"/>
                <w:szCs w:val="21"/>
                <w:vertAlign w:val="superscript"/>
              </w:rPr>
              <w:t>②</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矿种</w:t>
            </w:r>
            <w:r>
              <w:rPr>
                <w:rFonts w:hint="eastAsia" w:ascii="仿宋_GB2312" w:hAnsi="Times New Roman" w:eastAsia="仿宋_GB2312"/>
                <w:color w:val="000000"/>
                <w:szCs w:val="21"/>
                <w:vertAlign w:val="superscript"/>
              </w:rPr>
              <w:t>③</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申请登记面积（平方千米）</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exact"/>
          <w:jc w:val="center"/>
        </w:trPr>
        <w:tc>
          <w:tcPr>
            <w:tcW w:w="4073"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申请年限（年）</w:t>
            </w:r>
          </w:p>
        </w:tc>
        <w:tc>
          <w:tcPr>
            <w:tcW w:w="4161" w:type="dxa"/>
            <w:shd w:val="clear" w:color="auto" w:fill="auto"/>
            <w:noWrap w:val="0"/>
            <w:vAlign w:val="center"/>
          </w:tcPr>
          <w:p>
            <w:pPr>
              <w:pStyle w:val="4"/>
              <w:spacing w:before="0" w:beforeAutospacing="0" w:after="0" w:afterAutospacing="0" w:line="420" w:lineRule="atLeast"/>
              <w:jc w:val="center"/>
              <w:rPr>
                <w:rFonts w:hint="eastAsia" w:ascii="仿宋_GB2312" w:eastAsia="仿宋_GB2312"/>
                <w:color w:val="000000"/>
              </w:rPr>
            </w:pPr>
          </w:p>
        </w:tc>
      </w:tr>
    </w:tbl>
    <w:p>
      <w:pPr>
        <w:adjustRightInd w:val="0"/>
        <w:snapToGrid w:val="0"/>
        <w:spacing w:line="360" w:lineRule="auto"/>
        <w:jc w:val="left"/>
        <w:rPr>
          <w:rFonts w:hint="eastAsia"/>
        </w:rPr>
      </w:pPr>
      <w:r>
        <w:rPr>
          <w:rFonts w:hint="eastAsia" w:ascii="仿宋_GB2312" w:hAnsi="Times New Roman" w:eastAsia="仿宋_GB2312"/>
          <w:b/>
          <w:color w:val="000000"/>
          <w:szCs w:val="21"/>
        </w:rPr>
        <w:t>填写说明：</w:t>
      </w:r>
      <w:r>
        <w:rPr>
          <w:rFonts w:hint="eastAsia" w:ascii="仿宋_GB2312" w:hAnsi="Times New Roman" w:eastAsia="仿宋_GB2312"/>
          <w:color w:val="000000"/>
          <w:szCs w:val="21"/>
        </w:rPr>
        <w:t>①</w:t>
      </w:r>
      <w:r>
        <w:rPr>
          <w:rFonts w:hint="eastAsia" w:ascii="仿宋_GB2312" w:hAnsi="Times New Roman" w:eastAsia="仿宋_GB2312"/>
          <w:szCs w:val="21"/>
        </w:rPr>
        <w:t>探矿权性质：填写新立、变更、延续、转让、试采；②</w:t>
      </w:r>
      <w:r>
        <w:rPr>
          <w:rFonts w:hint="eastAsia" w:ascii="仿宋_GB2312" w:hAnsi="Times New Roman" w:eastAsia="仿宋_GB2312"/>
          <w:color w:val="000000"/>
        </w:rPr>
        <w:t>勘查单位及资质：</w:t>
      </w:r>
      <w:r>
        <w:rPr>
          <w:rFonts w:hint="eastAsia" w:ascii="仿宋_GB2312" w:hAnsi="Times New Roman" w:eastAsia="仿宋_GB2312"/>
          <w:szCs w:val="21"/>
        </w:rPr>
        <w:t>填写承担具体勘查任务施工单位名称及勘查资质证书号；③</w:t>
      </w:r>
      <w:r>
        <w:rPr>
          <w:rFonts w:hint="eastAsia" w:ascii="仿宋_GB2312" w:hAnsi="Times New Roman" w:eastAsia="仿宋_GB2312"/>
          <w:color w:val="000000"/>
        </w:rPr>
        <w:t>矿种：</w:t>
      </w:r>
      <w:r>
        <w:rPr>
          <w:rFonts w:hint="eastAsia" w:ascii="仿宋_GB2312" w:hAnsi="Times New Roman" w:eastAsia="仿宋_GB2312"/>
          <w:szCs w:val="21"/>
        </w:rPr>
        <w:t>应填写勘查的矿种，包括石油、天然气、煤层气及页岩气。</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（三）勘查目的和任务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30" w:firstLineChars="210"/>
        <w:textAlignment w:val="auto"/>
        <w:outlineLvl w:val="0"/>
        <w:rPr>
          <w:rFonts w:ascii="黑体" w:hAnsi="黑体" w:eastAsia="黑体"/>
          <w:color w:val="000000"/>
          <w:sz w:val="30"/>
          <w:szCs w:val="30"/>
        </w:rPr>
      </w:pPr>
      <w:r>
        <w:rPr>
          <w:rFonts w:hint="eastAsia" w:ascii="黑体" w:hAnsi="黑体" w:eastAsia="黑体"/>
          <w:color w:val="000000"/>
          <w:sz w:val="30"/>
          <w:szCs w:val="30"/>
        </w:rPr>
        <w:t>二、勘查区地质情况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hint="eastAsia" w:ascii="楷体_GB2312" w:eastAsia="楷体_GB2312"/>
          <w:color w:val="000000"/>
          <w:sz w:val="32"/>
          <w:szCs w:val="32"/>
        </w:rPr>
      </w:pPr>
      <w:r>
        <w:rPr>
          <w:rFonts w:hint="eastAsia" w:ascii="楷体_GB2312" w:eastAsia="楷体_GB2312"/>
          <w:color w:val="000000"/>
          <w:sz w:val="32"/>
          <w:szCs w:val="32"/>
        </w:rPr>
        <w:t>（一）区域地质概况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ascii="仿宋_GB2312" w:eastAsia="仿宋_GB2312"/>
          <w:sz w:val="32"/>
          <w:szCs w:val="32"/>
        </w:rPr>
      </w:pPr>
      <w:r>
        <w:rPr>
          <w:rFonts w:hint="eastAsia" w:ascii="仿宋_GB2312" w:eastAsia="仿宋_GB2312"/>
          <w:sz w:val="32"/>
          <w:szCs w:val="32"/>
        </w:rPr>
        <w:t>简要描述勘查区大地构造位置、地层层序、岩性、目的层位、油气地质条件、水文地质情况、资源潜力与勘查方向、地质与资源风险等。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（二）勘查区以往地质工作及勘查认识程度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ascii="仿宋_GB2312" w:eastAsia="仿宋_GB2312"/>
          <w:sz w:val="32"/>
          <w:szCs w:val="32"/>
        </w:rPr>
      </w:pPr>
      <w:r>
        <w:rPr>
          <w:rFonts w:hint="eastAsia" w:ascii="仿宋_GB2312" w:eastAsia="仿宋_GB2312"/>
          <w:sz w:val="32"/>
          <w:szCs w:val="32"/>
        </w:rPr>
        <w:t>新立申请简要描述资料收集研究情况，包括前人完成的勘查工作量、勘查成果和地质认识，说明新立的理由。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ascii="仿宋_GB2312" w:eastAsia="仿宋_GB2312"/>
          <w:sz w:val="32"/>
          <w:szCs w:val="32"/>
        </w:rPr>
      </w:pPr>
      <w:r>
        <w:rPr>
          <w:rFonts w:hint="eastAsia" w:ascii="仿宋_GB2312" w:eastAsia="仿宋_GB2312"/>
          <w:sz w:val="32"/>
          <w:szCs w:val="32"/>
        </w:rPr>
        <w:t>延续、变更申请详细描述前期勘查完成的实物工作量、勘查成果、地质认识及资源潜力，进而说明延续、变更的理由。同时，将上一持证期内完成的工作量及投入按表2如实填写。将上一持证期内完成的探井井位、二维地震测线起止点和三维地震工区坐标按附表如实填写。</w:t>
      </w:r>
    </w:p>
    <w:p>
      <w:pPr>
        <w:pStyle w:val="4"/>
        <w:spacing w:before="0" w:beforeAutospacing="0" w:after="156" w:afterLines="50" w:afterAutospacing="0" w:line="420" w:lineRule="atLeast"/>
        <w:jc w:val="center"/>
        <w:rPr>
          <w:rFonts w:ascii="黑体" w:hAnsi="黑体" w:eastAsia="黑体"/>
          <w:color w:val="000000"/>
        </w:rPr>
      </w:pPr>
      <w:r>
        <w:rPr>
          <w:rFonts w:ascii="黑体" w:hAnsi="黑体" w:eastAsia="黑体"/>
          <w:color w:val="000000"/>
        </w:rPr>
        <w:t>表</w:t>
      </w:r>
      <w:r>
        <w:rPr>
          <w:rFonts w:hint="eastAsia" w:ascii="黑体" w:hAnsi="黑体" w:eastAsia="黑体"/>
          <w:color w:val="000000"/>
        </w:rPr>
        <w:t>2 上一持证期内完成的工作量及勘查投入</w:t>
      </w:r>
    </w:p>
    <w:tbl>
      <w:tblPr>
        <w:tblStyle w:val="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39"/>
        <w:gridCol w:w="841"/>
        <w:gridCol w:w="1620"/>
        <w:gridCol w:w="1766"/>
        <w:gridCol w:w="2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2039"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勘查年度</w:t>
            </w:r>
          </w:p>
        </w:tc>
        <w:tc>
          <w:tcPr>
            <w:tcW w:w="2461" w:type="dxa"/>
            <w:gridSpan w:val="2"/>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项目</w:t>
            </w:r>
          </w:p>
        </w:tc>
        <w:tc>
          <w:tcPr>
            <w:tcW w:w="1766"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工作量</w:t>
            </w:r>
          </w:p>
        </w:tc>
        <w:tc>
          <w:tcPr>
            <w:tcW w:w="2148"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勘查投入（万元）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tcW w:w="2039" w:type="dxa"/>
            <w:vMerge w:val="restart"/>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841" w:type="dxa"/>
            <w:vMerge w:val="restart"/>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钻井</w:t>
            </w:r>
          </w:p>
        </w:tc>
        <w:tc>
          <w:tcPr>
            <w:tcW w:w="1620" w:type="dxa"/>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数量（口）</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vMerge w:val="restart"/>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1"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841" w:type="dxa"/>
            <w:vMerge w:val="continue"/>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p>
        </w:tc>
        <w:tc>
          <w:tcPr>
            <w:tcW w:w="1620" w:type="dxa"/>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进尺（米）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二维地震（千米）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三维地震（平方千米）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重磁电法勘查</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综合研究</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其他</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7" w:hRule="atLeast"/>
        </w:trPr>
        <w:tc>
          <w:tcPr>
            <w:tcW w:w="2039"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r>
              <w:rPr>
                <w:rFonts w:ascii="仿宋_GB2312" w:eastAsia="仿宋_GB2312"/>
                <w:color w:val="000000"/>
              </w:rPr>
              <w:t>……</w:t>
            </w: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bl>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延续、变更项目已发现储量或者进行试采的，简要描述储产量情况，并按表3如实填写。若有国土资源主管部门评审备案的各类资源储量和储量登记的，请简要描述。</w:t>
      </w:r>
    </w:p>
    <w:p>
      <w:pPr>
        <w:pStyle w:val="4"/>
        <w:spacing w:before="0" w:beforeAutospacing="0" w:after="156" w:afterLines="50" w:afterAutospacing="0" w:line="420" w:lineRule="atLeast"/>
        <w:jc w:val="center"/>
        <w:rPr>
          <w:rFonts w:ascii="黑体" w:hAnsi="黑体" w:eastAsia="黑体"/>
          <w:color w:val="000000"/>
        </w:rPr>
      </w:pPr>
    </w:p>
    <w:p>
      <w:pPr>
        <w:pStyle w:val="4"/>
        <w:spacing w:before="0" w:beforeAutospacing="0" w:after="156" w:afterLines="50" w:afterAutospacing="0" w:line="420" w:lineRule="atLeast"/>
        <w:jc w:val="center"/>
        <w:rPr>
          <w:rFonts w:ascii="黑体" w:hAnsi="黑体" w:eastAsia="黑体"/>
          <w:color w:val="000000"/>
        </w:rPr>
      </w:pPr>
    </w:p>
    <w:p>
      <w:pPr>
        <w:pStyle w:val="4"/>
        <w:spacing w:before="0" w:beforeAutospacing="0" w:after="156" w:afterLines="50" w:afterAutospacing="0" w:line="420" w:lineRule="atLeast"/>
        <w:jc w:val="center"/>
        <w:rPr>
          <w:rFonts w:ascii="黑体" w:hAnsi="黑体" w:eastAsia="黑体"/>
          <w:color w:val="000000"/>
        </w:rPr>
      </w:pPr>
      <w:r>
        <w:rPr>
          <w:rFonts w:ascii="黑体" w:hAnsi="黑体" w:eastAsia="黑体"/>
          <w:color w:val="000000"/>
        </w:rPr>
        <w:t>表</w:t>
      </w:r>
      <w:r>
        <w:rPr>
          <w:rFonts w:hint="eastAsia" w:ascii="黑体" w:hAnsi="黑体" w:eastAsia="黑体"/>
          <w:color w:val="000000"/>
        </w:rPr>
        <w:t>3 储量产量基本情况表</w:t>
      </w:r>
    </w:p>
    <w:tbl>
      <w:tblPr>
        <w:tblStyle w:val="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1620"/>
        <w:gridCol w:w="1440"/>
        <w:gridCol w:w="1440"/>
        <w:gridCol w:w="1260"/>
        <w:gridCol w:w="1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探明地质储量（万吨/亿立方米</w:t>
            </w:r>
            <w:r>
              <w:rPr>
                <w:rFonts w:hint="eastAsia"/>
                <w:b/>
                <w:color w:val="000000"/>
                <w:vertAlign w:val="superscript"/>
              </w:rPr>
              <w:t>①</w:t>
            </w:r>
            <w:r>
              <w:rPr>
                <w:rFonts w:hint="eastAsia" w:ascii="仿宋_GB2312" w:eastAsia="仿宋_GB2312"/>
                <w:color w:val="000000"/>
              </w:rPr>
              <w:t>）</w:t>
            </w:r>
          </w:p>
        </w:tc>
        <w:tc>
          <w:tcPr>
            <w:tcW w:w="162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探明技术可采储量（万吨/亿立方米）</w:t>
            </w:r>
          </w:p>
        </w:tc>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控制储量（万吨/亿立方米）</w:t>
            </w:r>
          </w:p>
        </w:tc>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预测储量（万吨/亿立方米）</w:t>
            </w:r>
          </w:p>
        </w:tc>
        <w:tc>
          <w:tcPr>
            <w:tcW w:w="126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产量（万吨/亿立方米）</w:t>
            </w:r>
          </w:p>
        </w:tc>
        <w:tc>
          <w:tcPr>
            <w:tcW w:w="1214"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生产井数（口）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c>
          <w:tcPr>
            <w:tcW w:w="162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c>
          <w:tcPr>
            <w:tcW w:w="144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c>
          <w:tcPr>
            <w:tcW w:w="1260"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c>
          <w:tcPr>
            <w:tcW w:w="1214"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p>
        </w:tc>
      </w:tr>
    </w:tbl>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118" w:firstLineChars="49"/>
        <w:textAlignment w:val="auto"/>
        <w:rPr>
          <w:rFonts w:hint="eastAsia" w:ascii="仿宋_GB2312" w:hAnsi="Times New Roman" w:eastAsia="仿宋_GB2312"/>
          <w:color w:val="000000"/>
          <w:szCs w:val="21"/>
        </w:rPr>
      </w:pPr>
      <w:r>
        <w:rPr>
          <w:rFonts w:hint="eastAsia" w:ascii="仿宋_GB2312" w:hAnsi="Times New Roman" w:eastAsia="仿宋_GB2312"/>
          <w:b/>
          <w:color w:val="000000"/>
          <w:szCs w:val="21"/>
        </w:rPr>
        <w:t>填写说明：</w:t>
      </w:r>
      <w:r>
        <w:rPr>
          <w:rFonts w:hint="eastAsia" w:ascii="仿宋_GB2312" w:hAnsi="Times New Roman" w:eastAsia="仿宋_GB2312"/>
          <w:color w:val="000000"/>
          <w:szCs w:val="21"/>
        </w:rPr>
        <w:t>①石油：万吨，天然气、煤层气、页岩气：亿立方米，下同。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30" w:firstLineChars="210"/>
        <w:textAlignment w:val="auto"/>
        <w:outlineLvl w:val="0"/>
        <w:rPr>
          <w:rFonts w:ascii="黑体" w:hAnsi="黑体" w:eastAsia="黑体"/>
          <w:color w:val="000000"/>
          <w:sz w:val="30"/>
          <w:szCs w:val="30"/>
        </w:rPr>
      </w:pPr>
      <w:r>
        <w:rPr>
          <w:rFonts w:hint="eastAsia" w:ascii="黑体" w:hAnsi="黑体" w:eastAsia="黑体"/>
          <w:color w:val="000000"/>
          <w:sz w:val="30"/>
          <w:szCs w:val="30"/>
        </w:rPr>
        <w:t>三、勘查实施方案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（一）勘查部署遵循的原则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（二）技术路线、勘查依据和方法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（三）工作量和资金投入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ascii="仿宋_GB2312" w:eastAsia="仿宋_GB2312"/>
          <w:sz w:val="32"/>
          <w:szCs w:val="32"/>
        </w:rPr>
      </w:pPr>
      <w:r>
        <w:rPr>
          <w:rFonts w:hint="eastAsia" w:ascii="仿宋_GB2312" w:eastAsia="仿宋_GB2312"/>
          <w:sz w:val="32"/>
          <w:szCs w:val="32"/>
        </w:rPr>
        <w:t>简要描述总体部署方案，并将下一持证期计划部署工作量及勘查投入分年度按表4如实填写。</w:t>
      </w:r>
    </w:p>
    <w:p>
      <w:pPr>
        <w:pStyle w:val="4"/>
        <w:spacing w:before="0" w:beforeAutospacing="0" w:after="156" w:afterLines="50" w:afterAutospacing="0" w:line="420" w:lineRule="atLeast"/>
        <w:jc w:val="center"/>
        <w:rPr>
          <w:rFonts w:hint="eastAsia" w:ascii="黑体" w:hAnsi="黑体" w:eastAsia="黑体"/>
          <w:color w:val="000000"/>
        </w:rPr>
      </w:pPr>
      <w:r>
        <w:rPr>
          <w:rFonts w:hint="eastAsia" w:ascii="黑体" w:hAnsi="黑体" w:eastAsia="黑体"/>
          <w:color w:val="000000"/>
        </w:rPr>
        <w:t>表4 下一持证期计划部署工作量及勘查投入</w:t>
      </w:r>
    </w:p>
    <w:tbl>
      <w:tblPr>
        <w:tblStyle w:val="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39"/>
        <w:gridCol w:w="841"/>
        <w:gridCol w:w="1620"/>
        <w:gridCol w:w="1766"/>
        <w:gridCol w:w="2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勘查年度</w:t>
            </w:r>
          </w:p>
        </w:tc>
        <w:tc>
          <w:tcPr>
            <w:tcW w:w="2461" w:type="dxa"/>
            <w:gridSpan w:val="2"/>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项目</w:t>
            </w:r>
          </w:p>
        </w:tc>
        <w:tc>
          <w:tcPr>
            <w:tcW w:w="1766"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工作量</w:t>
            </w:r>
          </w:p>
        </w:tc>
        <w:tc>
          <w:tcPr>
            <w:tcW w:w="2148" w:type="dxa"/>
            <w:shd w:val="clear" w:color="auto" w:fill="auto"/>
            <w:noWrap w:val="0"/>
            <w:vAlign w:val="top"/>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勘查投入（万元）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tcW w:w="2039" w:type="dxa"/>
            <w:vMerge w:val="restart"/>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841" w:type="dxa"/>
            <w:vMerge w:val="restart"/>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钻井</w:t>
            </w:r>
          </w:p>
        </w:tc>
        <w:tc>
          <w:tcPr>
            <w:tcW w:w="1620" w:type="dxa"/>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数量（口）</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vMerge w:val="restart"/>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1"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841" w:type="dxa"/>
            <w:vMerge w:val="continue"/>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p>
        </w:tc>
        <w:tc>
          <w:tcPr>
            <w:tcW w:w="1620" w:type="dxa"/>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进尺（米）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二维地震（千米）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三维地震（平方千米）</w:t>
            </w: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重磁电法勘查</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综合研究</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vMerge w:val="continue"/>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r>
              <w:rPr>
                <w:rFonts w:hint="eastAsia" w:ascii="仿宋_GB2312" w:eastAsia="仿宋_GB2312"/>
                <w:color w:val="000000"/>
              </w:rPr>
              <w:t>其他</w:t>
            </w:r>
          </w:p>
        </w:tc>
        <w:tc>
          <w:tcPr>
            <w:tcW w:w="1766"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2039"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r>
              <w:rPr>
                <w:rFonts w:ascii="仿宋_GB2312" w:eastAsia="仿宋_GB2312"/>
                <w:color w:val="000000"/>
              </w:rPr>
              <w:t>……</w:t>
            </w:r>
          </w:p>
        </w:tc>
        <w:tc>
          <w:tcPr>
            <w:tcW w:w="2461" w:type="dxa"/>
            <w:gridSpan w:val="2"/>
            <w:shd w:val="clear" w:color="auto" w:fill="auto"/>
            <w:noWrap w:val="0"/>
            <w:vAlign w:val="center"/>
          </w:tcPr>
          <w:p>
            <w:pPr>
              <w:pStyle w:val="4"/>
              <w:spacing w:before="0" w:beforeAutospacing="0" w:after="0" w:afterAutospacing="0" w:line="420" w:lineRule="atLeast"/>
              <w:jc w:val="both"/>
              <w:rPr>
                <w:rFonts w:hint="eastAsia" w:ascii="仿宋_GB2312" w:eastAsia="仿宋_GB2312"/>
                <w:color w:val="000000"/>
              </w:rPr>
            </w:pPr>
          </w:p>
        </w:tc>
        <w:tc>
          <w:tcPr>
            <w:tcW w:w="1766" w:type="dxa"/>
            <w:shd w:val="clear" w:color="auto" w:fill="auto"/>
            <w:noWrap w:val="0"/>
            <w:vAlign w:val="center"/>
          </w:tcPr>
          <w:p>
            <w:pPr>
              <w:pStyle w:val="4"/>
              <w:spacing w:before="0" w:beforeAutospacing="0" w:after="0" w:afterAutospacing="0" w:line="420" w:lineRule="atLeast"/>
              <w:jc w:val="right"/>
              <w:rPr>
                <w:rFonts w:hint="eastAsia" w:ascii="仿宋_GB2312" w:eastAsia="仿宋_GB2312"/>
                <w:color w:val="000000"/>
              </w:rPr>
            </w:pPr>
          </w:p>
        </w:tc>
        <w:tc>
          <w:tcPr>
            <w:tcW w:w="2148" w:type="dxa"/>
            <w:shd w:val="clear" w:color="auto" w:fill="auto"/>
            <w:noWrap w:val="0"/>
            <w:vAlign w:val="top"/>
          </w:tcPr>
          <w:p>
            <w:pPr>
              <w:pStyle w:val="4"/>
              <w:spacing w:before="0" w:beforeAutospacing="0" w:after="0" w:afterAutospacing="0" w:line="420" w:lineRule="atLeast"/>
              <w:rPr>
                <w:rFonts w:hint="eastAsia" w:ascii="仿宋_GB2312" w:eastAsia="仿宋_GB2312"/>
                <w:color w:val="000000"/>
              </w:rPr>
            </w:pPr>
          </w:p>
        </w:tc>
      </w:tr>
    </w:tbl>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（四）预期成果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outlineLvl w:val="0"/>
        <w:rPr>
          <w:rFonts w:ascii="楷体_GB2312" w:eastAsia="楷体_GB2312"/>
          <w:color w:val="000000"/>
          <w:sz w:val="32"/>
          <w:szCs w:val="32"/>
        </w:rPr>
      </w:pPr>
      <w:r>
        <w:rPr>
          <w:rFonts w:hint="eastAsia" w:ascii="楷体_GB2312" w:eastAsia="楷体_GB2312"/>
          <w:color w:val="000000"/>
          <w:sz w:val="32"/>
          <w:szCs w:val="32"/>
        </w:rPr>
        <w:t>（五）与非油气矿产的协调情况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区块内若存在煤炭等非油气矿产，需提出与非油气矿产协调方案</w:t>
      </w:r>
      <w:r>
        <w:rPr>
          <w:rStyle w:val="8"/>
          <w:rFonts w:ascii="楷体_GB2312" w:eastAsia="楷体_GB2312"/>
          <w:color w:val="000000"/>
          <w:sz w:val="32"/>
          <w:szCs w:val="32"/>
        </w:rPr>
        <w:footnoteReference w:id="0"/>
      </w:r>
      <w:r>
        <w:rPr>
          <w:rFonts w:hint="eastAsia" w:ascii="仿宋_GB2312" w:eastAsia="仿宋_GB2312"/>
          <w:sz w:val="32"/>
          <w:szCs w:val="32"/>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30" w:firstLineChars="210"/>
        <w:textAlignment w:val="auto"/>
        <w:outlineLvl w:val="0"/>
        <w:rPr>
          <w:rFonts w:ascii="黑体" w:hAnsi="黑体" w:eastAsia="黑体"/>
          <w:color w:val="000000"/>
          <w:sz w:val="30"/>
          <w:szCs w:val="30"/>
        </w:rPr>
      </w:pPr>
      <w:r>
        <w:rPr>
          <w:rFonts w:hint="eastAsia" w:ascii="黑体" w:hAnsi="黑体" w:eastAsia="黑体"/>
          <w:color w:val="000000"/>
          <w:sz w:val="30"/>
          <w:szCs w:val="30"/>
        </w:rPr>
        <w:t>四、保障措施（人员、资金、质量等）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630" w:firstLineChars="210"/>
        <w:textAlignment w:val="auto"/>
        <w:outlineLvl w:val="0"/>
        <w:rPr>
          <w:rFonts w:ascii="黑体" w:hAnsi="黑体" w:eastAsia="黑体"/>
          <w:color w:val="000000"/>
          <w:sz w:val="30"/>
          <w:szCs w:val="30"/>
        </w:rPr>
      </w:pPr>
      <w:r>
        <w:rPr>
          <w:rFonts w:hint="eastAsia" w:ascii="黑体" w:hAnsi="黑体" w:eastAsia="黑体"/>
          <w:color w:val="000000"/>
          <w:sz w:val="30"/>
          <w:szCs w:val="30"/>
        </w:rPr>
        <w:t>五、附图与附表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ascii="楷体_GB2312" w:eastAsia="楷体_GB2312"/>
          <w:color w:val="000000"/>
          <w:sz w:val="32"/>
          <w:szCs w:val="32"/>
        </w:rPr>
      </w:pPr>
      <w:r>
        <w:rPr>
          <w:rFonts w:hint="eastAsia" w:ascii="楷体_GB2312" w:eastAsia="楷体_GB2312"/>
          <w:color w:val="000000"/>
          <w:sz w:val="32"/>
          <w:szCs w:val="32"/>
        </w:rPr>
        <w:t>（一）地理位置图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ascii="楷体_GB2312" w:eastAsia="楷体_GB2312"/>
          <w:color w:val="000000"/>
          <w:sz w:val="32"/>
          <w:szCs w:val="32"/>
        </w:rPr>
      </w:pPr>
      <w:r>
        <w:rPr>
          <w:rFonts w:hint="eastAsia" w:ascii="楷体_GB2312" w:eastAsia="楷体_GB2312"/>
          <w:color w:val="000000"/>
          <w:sz w:val="32"/>
          <w:szCs w:val="32"/>
        </w:rPr>
        <w:t>（二）勘查程度图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ascii="楷体_GB2312" w:eastAsia="楷体_GB2312"/>
          <w:color w:val="000000"/>
          <w:sz w:val="32"/>
          <w:szCs w:val="32"/>
        </w:rPr>
      </w:pPr>
      <w:r>
        <w:rPr>
          <w:rFonts w:hint="eastAsia" w:ascii="楷体_GB2312" w:eastAsia="楷体_GB2312"/>
          <w:color w:val="000000"/>
          <w:sz w:val="32"/>
          <w:szCs w:val="32"/>
        </w:rPr>
        <w:t>（三）勘查部署图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ascii="楷体_GB2312" w:eastAsia="楷体_GB2312"/>
          <w:color w:val="000000"/>
          <w:sz w:val="32"/>
          <w:szCs w:val="32"/>
        </w:rPr>
      </w:pPr>
      <w:r>
        <w:rPr>
          <w:rFonts w:hint="eastAsia" w:ascii="楷体_GB2312" w:eastAsia="楷体_GB2312"/>
          <w:color w:val="000000"/>
          <w:sz w:val="32"/>
          <w:szCs w:val="32"/>
        </w:rPr>
        <w:t>（四）探矿权变更前后勘查/开采区块范围对比图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hint="eastAsia" w:ascii="楷体_GB2312" w:eastAsia="楷体_GB2312"/>
          <w:color w:val="000000"/>
          <w:sz w:val="32"/>
          <w:szCs w:val="32"/>
        </w:rPr>
      </w:pPr>
      <w:r>
        <w:rPr>
          <w:rFonts w:hint="eastAsia" w:ascii="楷体_GB2312" w:eastAsia="楷体_GB2312"/>
          <w:color w:val="000000"/>
          <w:sz w:val="32"/>
          <w:szCs w:val="32"/>
        </w:rPr>
        <w:t>（五）试采井位、控制范围与勘查区块范围关系图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exact"/>
        <w:ind w:firstLine="482"/>
        <w:textAlignment w:val="auto"/>
        <w:rPr>
          <w:rFonts w:hint="eastAsia" w:ascii="楷体_GB2312" w:eastAsia="楷体_GB2312"/>
          <w:color w:val="000000"/>
          <w:sz w:val="32"/>
          <w:szCs w:val="32"/>
        </w:rPr>
      </w:pPr>
      <w:r>
        <w:rPr>
          <w:rFonts w:hint="eastAsia" w:ascii="楷体_GB2312" w:eastAsia="楷体_GB2312"/>
          <w:color w:val="000000"/>
          <w:sz w:val="32"/>
          <w:szCs w:val="32"/>
        </w:rPr>
        <w:t>（六）上一持证期内完成的探井、地震工作基本信息表</w:t>
      </w:r>
    </w:p>
    <w:p>
      <w:pPr>
        <w:pStyle w:val="4"/>
        <w:spacing w:before="0" w:beforeAutospacing="0" w:after="156" w:afterLines="50" w:afterAutospacing="0" w:line="420" w:lineRule="atLeast"/>
        <w:jc w:val="center"/>
        <w:rPr>
          <w:rFonts w:ascii="黑体" w:hAnsi="黑体" w:eastAsia="黑体"/>
          <w:color w:val="000000"/>
        </w:rPr>
      </w:pPr>
      <w:r>
        <w:rPr>
          <w:rFonts w:hint="eastAsia" w:ascii="黑体" w:hAnsi="黑体" w:eastAsia="黑体"/>
          <w:color w:val="000000"/>
        </w:rPr>
        <w:t>附表  上一持证期内完成的探井、地震工作基本信息表</w:t>
      </w:r>
    </w:p>
    <w:tbl>
      <w:tblPr>
        <w:tblStyle w:val="5"/>
        <w:tblW w:w="7960" w:type="dxa"/>
        <w:jc w:val="center"/>
        <w:tblLayout w:type="autofit"/>
        <w:tblCellMar>
          <w:top w:w="0" w:type="dxa"/>
          <w:left w:w="108" w:type="dxa"/>
          <w:bottom w:w="0" w:type="dxa"/>
          <w:right w:w="108" w:type="dxa"/>
        </w:tblCellMar>
      </w:tblPr>
      <w:tblGrid>
        <w:gridCol w:w="1080"/>
        <w:gridCol w:w="1080"/>
        <w:gridCol w:w="1243"/>
        <w:gridCol w:w="1218"/>
        <w:gridCol w:w="1179"/>
        <w:gridCol w:w="1214"/>
        <w:gridCol w:w="946"/>
      </w:tblGrid>
      <w:tr>
        <w:tblPrEx>
          <w:tblCellMar>
            <w:top w:w="0" w:type="dxa"/>
            <w:left w:w="108" w:type="dxa"/>
            <w:bottom w:w="0" w:type="dxa"/>
            <w:right w:w="108" w:type="dxa"/>
          </w:tblCellMar>
        </w:tblPrEx>
        <w:trPr>
          <w:trHeight w:val="285"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探井信息</w:t>
            </w:r>
          </w:p>
        </w:tc>
        <w:tc>
          <w:tcPr>
            <w:tcW w:w="5800" w:type="dxa"/>
            <w:gridSpan w:val="5"/>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地震工作信息</w:t>
            </w:r>
          </w:p>
        </w:tc>
      </w:tr>
      <w:tr>
        <w:tblPrEx>
          <w:tblCellMar>
            <w:top w:w="0" w:type="dxa"/>
            <w:left w:w="108" w:type="dxa"/>
            <w:bottom w:w="0" w:type="dxa"/>
            <w:right w:w="108" w:type="dxa"/>
          </w:tblCellMar>
        </w:tblPrEx>
        <w:trPr>
          <w:trHeight w:val="285"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探井</w:t>
            </w:r>
          </w:p>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名称</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井口</w:t>
            </w:r>
          </w:p>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坐标</w:t>
            </w:r>
          </w:p>
        </w:tc>
        <w:tc>
          <w:tcPr>
            <w:tcW w:w="1243"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二维地震测线名称</w:t>
            </w:r>
          </w:p>
        </w:tc>
        <w:tc>
          <w:tcPr>
            <w:tcW w:w="1218"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起始点</w:t>
            </w:r>
          </w:p>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坐标</w:t>
            </w:r>
          </w:p>
        </w:tc>
        <w:tc>
          <w:tcPr>
            <w:tcW w:w="1179"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终止点</w:t>
            </w:r>
          </w:p>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坐标</w:t>
            </w:r>
          </w:p>
        </w:tc>
        <w:tc>
          <w:tcPr>
            <w:tcW w:w="1214"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三维地震工区名称</w:t>
            </w:r>
          </w:p>
        </w:tc>
        <w:tc>
          <w:tcPr>
            <w:tcW w:w="946" w:type="dxa"/>
            <w:tcBorders>
              <w:top w:val="single" w:color="auto" w:sz="4" w:space="0"/>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拐点</w:t>
            </w:r>
          </w:p>
          <w:p>
            <w:pPr>
              <w:pStyle w:val="4"/>
              <w:spacing w:before="0" w:beforeAutospacing="0" w:after="0" w:afterAutospacing="0" w:line="420" w:lineRule="atLeast"/>
              <w:jc w:val="center"/>
              <w:rPr>
                <w:rFonts w:hint="eastAsia" w:ascii="仿宋_GB2312" w:eastAsia="仿宋_GB2312"/>
                <w:color w:val="000000"/>
              </w:rPr>
            </w:pPr>
            <w:r>
              <w:rPr>
                <w:rFonts w:hint="eastAsia" w:ascii="仿宋_GB2312" w:eastAsia="仿宋_GB2312"/>
                <w:color w:val="000000"/>
              </w:rPr>
              <w:t>坐标</w:t>
            </w:r>
          </w:p>
        </w:tc>
      </w:tr>
      <w:tr>
        <w:tblPrEx>
          <w:tblCellMar>
            <w:top w:w="0" w:type="dxa"/>
            <w:left w:w="108" w:type="dxa"/>
            <w:bottom w:w="0" w:type="dxa"/>
            <w:right w:w="108" w:type="dxa"/>
          </w:tblCellMar>
        </w:tblPrEx>
        <w:trPr>
          <w:trHeight w:val="28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080"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43"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8"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179"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4"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946"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r>
      <w:tr>
        <w:tblPrEx>
          <w:tblCellMar>
            <w:top w:w="0" w:type="dxa"/>
            <w:left w:w="108" w:type="dxa"/>
            <w:bottom w:w="0" w:type="dxa"/>
            <w:right w:w="108" w:type="dxa"/>
          </w:tblCellMar>
        </w:tblPrEx>
        <w:trPr>
          <w:trHeight w:val="28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080"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43"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8"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179"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4"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946"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r>
      <w:tr>
        <w:tblPrEx>
          <w:tblCellMar>
            <w:top w:w="0" w:type="dxa"/>
            <w:left w:w="108" w:type="dxa"/>
            <w:bottom w:w="0" w:type="dxa"/>
            <w:right w:w="108" w:type="dxa"/>
          </w:tblCellMar>
        </w:tblPrEx>
        <w:trPr>
          <w:trHeight w:val="28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080"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43"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8"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179"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1214"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c>
          <w:tcPr>
            <w:tcW w:w="946" w:type="dxa"/>
            <w:tcBorders>
              <w:top w:val="nil"/>
              <w:left w:val="nil"/>
              <w:bottom w:val="single" w:color="auto" w:sz="4" w:space="0"/>
              <w:right w:val="single" w:color="auto" w:sz="4" w:space="0"/>
            </w:tcBorders>
            <w:shd w:val="clear" w:color="auto" w:fill="auto"/>
            <w:noWrap/>
            <w:vAlign w:val="center"/>
          </w:tcPr>
          <w:p>
            <w:pPr>
              <w:pStyle w:val="4"/>
              <w:spacing w:before="0" w:beforeAutospacing="0" w:after="0" w:afterAutospacing="0" w:line="420" w:lineRule="atLeast"/>
              <w:jc w:val="center"/>
              <w:rPr>
                <w:rFonts w:ascii="仿宋_GB2312" w:eastAsia="仿宋_GB2312"/>
                <w:color w:val="000000"/>
              </w:rPr>
            </w:pPr>
            <w:r>
              <w:rPr>
                <w:rFonts w:hint="eastAsia" w:ascii="仿宋_GB2312" w:eastAsia="仿宋_GB2312"/>
                <w:color w:val="000000"/>
              </w:rPr>
              <w:t>　</w:t>
            </w:r>
          </w:p>
        </w:tc>
      </w:tr>
    </w:tbl>
    <w:p>
      <w:pPr>
        <w:pStyle w:val="4"/>
        <w:spacing w:before="0" w:beforeAutospacing="0" w:after="0" w:afterAutospacing="0" w:line="420" w:lineRule="atLeast"/>
        <w:rPr>
          <w:rFonts w:hint="eastAsia" w:ascii="楷体_GB2312" w:eastAsia="楷体_GB2312"/>
          <w:color w:val="000000"/>
          <w:sz w:val="21"/>
          <w:szCs w:val="21"/>
        </w:rPr>
      </w:pPr>
      <w:r>
        <w:rPr>
          <w:rFonts w:hint="eastAsia" w:ascii="仿宋_GB2312" w:hAnsi="Times New Roman" w:eastAsia="仿宋_GB2312"/>
          <w:b/>
          <w:color w:val="000000"/>
          <w:sz w:val="21"/>
          <w:szCs w:val="21"/>
        </w:rPr>
        <w:t>填写说明：</w:t>
      </w:r>
      <w:r>
        <w:rPr>
          <w:rFonts w:hint="eastAsia" w:ascii="仿宋_GB2312" w:hAnsi="Times New Roman" w:eastAsia="仿宋_GB2312"/>
          <w:color w:val="000000"/>
          <w:sz w:val="21"/>
          <w:szCs w:val="21"/>
        </w:rPr>
        <w:t>需同时按54和80坐标系填写。通知下发后第一次申请探矿权时需填写以往工作中完成的所有探井、地震工作基本信息。</w:t>
      </w:r>
    </w:p>
    <w:p>
      <w:pPr>
        <w:pStyle w:val="4"/>
        <w:spacing w:before="0" w:beforeAutospacing="0" w:after="0" w:afterAutospacing="0" w:line="420" w:lineRule="atLeast"/>
        <w:ind w:firstLine="482"/>
        <w:rPr>
          <w:rFonts w:hint="eastAsia" w:ascii="楷体_GB2312" w:eastAsia="楷体_GB2312"/>
          <w:color w:val="000000"/>
          <w:sz w:val="32"/>
          <w:szCs w:val="32"/>
        </w:rPr>
      </w:pPr>
    </w:p>
    <w:p/>
    <w:p>
      <w:pPr>
        <w:keepNext w:val="0"/>
        <w:keepLines w:val="0"/>
        <w:pageBreakBefore w:val="0"/>
        <w:kinsoku/>
        <w:wordWrap/>
        <w:overflowPunct/>
        <w:topLinePunct w:val="0"/>
        <w:autoSpaceDE/>
        <w:autoSpaceDN/>
        <w:bidi w:val="0"/>
        <w:adjustRightInd/>
        <w:snapToGrid/>
        <w:spacing w:line="520" w:lineRule="exact"/>
        <w:jc w:val="both"/>
        <w:textAlignment w:val="auto"/>
        <w:rPr>
          <w:rFonts w:hint="eastAsia" w:ascii="宋体" w:hAnsi="宋体" w:eastAsia="宋体" w:cs="宋体"/>
          <w:i w:val="0"/>
          <w:iCs w:val="0"/>
          <w:caps w:val="0"/>
          <w:color w:val="000000"/>
          <w:spacing w:val="0"/>
          <w:sz w:val="28"/>
          <w:szCs w:val="28"/>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3"/>
        <w:rPr>
          <w:rFonts w:hint="eastAsia"/>
        </w:rPr>
      </w:pPr>
      <w:r>
        <w:rPr>
          <w:rStyle w:val="8"/>
        </w:rPr>
        <w:footnoteRef/>
      </w:r>
      <w:r>
        <w:t xml:space="preserve"> </w:t>
      </w:r>
      <w:r>
        <w:rPr>
          <w:rFonts w:hint="eastAsia"/>
        </w:rPr>
        <w:t>企业必要时应请煤炭等相关专家参与方案论证。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A6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note text"/>
    <w:basedOn w:val="1"/>
    <w:unhideWhenUsed/>
    <w:qFormat/>
    <w:uiPriority w:val="0"/>
    <w:pPr>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footnote reference"/>
    <w:unhideWhenUsed/>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2021-04-15T06:14:33Z</dcterms:created>
  <dc:creator>Administrator</dc:creator>
  <cp:lastModifiedBy>雨露</cp:lastModifiedBy>
  <dcterms:modified xsi:type="dcterms:W3CDTF">2021-04-15T06:35:12Z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66A296F8DE6E48FDA5FB2162F8EA72E9</vt:lpwstr>
  </property>
</Properties>
</file>