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default" w:ascii="Arial" w:hAnsi="Arial" w:eastAsia="新宋体" w:cs="Arial"/>
          <w:b/>
          <w:bCs/>
          <w:color w:val="000000"/>
          <w:kern w:val="0"/>
          <w:sz w:val="32"/>
          <w:szCs w:val="32"/>
          <w:bdr w:val="none" w:color="auto" w:sz="0" w:space="0"/>
          <w:lang w:val="en-US" w:eastAsia="zh-CN" w:bidi="ar"/>
        </w:rPr>
      </w:pPr>
      <w:r>
        <w:rPr>
          <w:rFonts w:hint="default" w:ascii="Arial" w:hAnsi="Arial" w:eastAsia="新宋体" w:cs="Arial"/>
          <w:b/>
          <w:bCs/>
          <w:color w:val="000000"/>
          <w:kern w:val="0"/>
          <w:sz w:val="32"/>
          <w:szCs w:val="32"/>
          <w:bdr w:val="none" w:color="auto" w:sz="0" w:space="0"/>
          <w:lang w:val="en-US" w:eastAsia="zh-CN" w:bidi="ar"/>
        </w:rPr>
        <w:t>国土资源部关于转发中央机构编制委员会办公室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宋体" w:hAnsi="宋体" w:eastAsia="宋体" w:cs="宋体"/>
          <w:b/>
          <w:bCs/>
          <w:color w:val="000000"/>
          <w:sz w:val="32"/>
          <w:szCs w:val="32"/>
        </w:rPr>
      </w:pPr>
      <w:r>
        <w:rPr>
          <w:rFonts w:hint="default" w:ascii="Arial" w:hAnsi="Arial" w:eastAsia="新宋体" w:cs="Arial"/>
          <w:b/>
          <w:bCs/>
          <w:color w:val="000000"/>
          <w:kern w:val="0"/>
          <w:sz w:val="32"/>
          <w:szCs w:val="32"/>
          <w:bdr w:val="none" w:color="auto" w:sz="0" w:space="0"/>
          <w:lang w:val="en-US" w:eastAsia="zh-CN" w:bidi="ar"/>
        </w:rPr>
        <w:t>《关于解释重要</w:t>
      </w:r>
      <w:r>
        <w:rPr>
          <w:rFonts w:hint="eastAsia" w:ascii="宋体" w:hAnsi="宋体" w:eastAsia="宋体" w:cs="宋体"/>
          <w:b/>
          <w:bCs/>
          <w:color w:val="000000"/>
          <w:kern w:val="0"/>
          <w:sz w:val="32"/>
          <w:szCs w:val="32"/>
          <w:bdr w:val="none" w:color="auto" w:sz="0" w:space="0"/>
          <w:lang w:val="en-US" w:eastAsia="zh-CN" w:bidi="ar"/>
        </w:rPr>
        <w:t>矿产资源管理有关问题的复函》的通知</w:t>
      </w:r>
    </w:p>
    <w:p>
      <w:pPr>
        <w:pStyle w:val="19"/>
        <w:rPr>
          <w:rFonts w:hint="eastAsia" w:ascii="宋体" w:hAnsi="宋体" w:eastAsia="宋体" w:cs="宋体"/>
          <w:sz w:val="28"/>
          <w:szCs w:val="28"/>
        </w:rPr>
      </w:pPr>
      <w:r>
        <w:rPr>
          <w:rFonts w:hint="eastAsia" w:ascii="宋体" w:hAnsi="宋体" w:eastAsia="宋体" w:cs="宋体"/>
          <w:sz w:val="28"/>
          <w:szCs w:val="28"/>
        </w:rPr>
        <w:t>窗体底端</w:t>
      </w:r>
    </w:p>
    <w:p>
      <w:pPr>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（国土资发</w:t>
      </w:r>
      <w:r>
        <w:rPr>
          <w:rFonts w:hint="eastAsia" w:ascii="宋体" w:hAnsi="宋体" w:eastAsia="宋体" w:cs="宋体"/>
          <w:sz w:val="28"/>
          <w:szCs w:val="28"/>
          <w:lang w:val="en-US" w:eastAsia="zh-CN"/>
        </w:rPr>
        <w:t>[1999]432号</w:t>
      </w:r>
      <w:r>
        <w:rPr>
          <w:rFonts w:hint="eastAsia" w:ascii="宋体" w:hAnsi="宋体" w:eastAsia="宋体" w:cs="宋体"/>
          <w:sz w:val="28"/>
          <w:szCs w:val="28"/>
          <w:lang w:eastAsia="zh-CN"/>
        </w:rPr>
        <w:t>）</w:t>
      </w:r>
    </w:p>
    <w:p>
      <w:pPr>
        <w:rPr>
          <w:rFonts w:hint="eastAsia" w:ascii="宋体" w:hAnsi="宋体" w:eastAsia="宋体" w:cs="宋体"/>
          <w:sz w:val="28"/>
          <w:szCs w:val="28"/>
        </w:rPr>
      </w:pPr>
      <w:r>
        <w:rPr>
          <w:rFonts w:hint="eastAsia" w:ascii="宋体" w:hAnsi="宋体" w:eastAsia="宋体" w:cs="宋体"/>
          <w:sz w:val="28"/>
          <w:szCs w:val="28"/>
        </w:rPr>
        <w:t>各省、自治区、直辖市地矿厅（局）：</w:t>
      </w:r>
    </w:p>
    <w:p>
      <w:pPr>
        <w:rPr>
          <w:rFonts w:hint="eastAsia" w:ascii="宋体" w:hAnsi="宋体" w:eastAsia="宋体" w:cs="宋体"/>
          <w:sz w:val="28"/>
          <w:szCs w:val="28"/>
        </w:rPr>
      </w:pPr>
      <w:r>
        <w:rPr>
          <w:rFonts w:hint="eastAsia" w:ascii="宋体" w:hAnsi="宋体" w:eastAsia="宋体" w:cs="宋体"/>
          <w:sz w:val="28"/>
          <w:szCs w:val="28"/>
        </w:rPr>
        <w:t>　　现将中央机构编制委员会办公室《关于解释重要矿产资源管理有关问题的复函》（中编办函〔1999〕107号）（以下简称《复函》）转发给你们。请按照该《复函》的要求，进一步加强对国家规划矿区、对国民经济具有重要价值的矿区内的矿产资源和国家实行保护性开采的特定矿种的采矿权审批登记管理工作。</w:t>
      </w:r>
    </w:p>
    <w:p>
      <w:pPr>
        <w:rPr>
          <w:rFonts w:hint="eastAsia" w:ascii="宋体" w:hAnsi="宋体" w:eastAsia="宋体" w:cs="宋体"/>
          <w:sz w:val="28"/>
          <w:szCs w:val="28"/>
        </w:rPr>
      </w:pPr>
      <w:r>
        <w:rPr>
          <w:rFonts w:hint="eastAsia" w:ascii="宋体" w:hAnsi="宋体" w:eastAsia="宋体" w:cs="宋体"/>
          <w:sz w:val="28"/>
          <w:szCs w:val="28"/>
        </w:rPr>
        <w:t>　　一、各省、自治区、直辖市地质矿产行政主管部门在办理国家规划矿区、对国民经济具有重要价值的矿区内的矿产资源和国家实行保护性开采的特定矿种的采矿权审批登记过程中，严格执行《矿产资源开采登记管理办法》（国务院第241号令）的有关规定。</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二、对未依法取得采矿许可证擅自采矿的单位和个人，要严格按照《中华人民共和国矿产资源法》第三十九条、第四十四条的规定执行。 </w:t>
      </w:r>
    </w:p>
    <w:p>
      <w:pPr>
        <w:ind w:firstLine="3640" w:firstLineChars="1300"/>
        <w:rPr>
          <w:rFonts w:hint="eastAsia" w:ascii="宋体" w:hAnsi="宋体" w:eastAsia="宋体" w:cs="宋体"/>
          <w:sz w:val="28"/>
          <w:szCs w:val="28"/>
        </w:rPr>
      </w:pPr>
      <w:r>
        <w:rPr>
          <w:rFonts w:hint="eastAsia" w:ascii="宋体" w:hAnsi="宋体" w:eastAsia="宋体" w:cs="宋体"/>
          <w:sz w:val="28"/>
          <w:szCs w:val="28"/>
          <w:lang w:eastAsia="zh-CN"/>
        </w:rPr>
        <w:t>中华人民共和国</w:t>
      </w:r>
      <w:r>
        <w:rPr>
          <w:rFonts w:hint="eastAsia" w:ascii="宋体" w:hAnsi="宋体" w:eastAsia="宋体" w:cs="宋体"/>
          <w:sz w:val="28"/>
          <w:szCs w:val="28"/>
        </w:rPr>
        <w:t>国土资源部</w:t>
      </w:r>
    </w:p>
    <w:p>
      <w:pPr>
        <w:ind w:firstLine="3920" w:firstLineChars="1400"/>
        <w:rPr>
          <w:rFonts w:hint="eastAsia" w:ascii="宋体" w:hAnsi="宋体" w:eastAsia="宋体" w:cs="宋体"/>
          <w:sz w:val="28"/>
          <w:szCs w:val="28"/>
        </w:rPr>
      </w:pPr>
      <w:r>
        <w:rPr>
          <w:rFonts w:hint="eastAsia" w:ascii="宋体" w:hAnsi="宋体" w:eastAsia="宋体" w:cs="宋体"/>
          <w:sz w:val="28"/>
          <w:szCs w:val="28"/>
          <w:lang w:val="en-US" w:eastAsia="zh-CN"/>
        </w:rPr>
        <w:t>1999</w:t>
      </w:r>
      <w:r>
        <w:rPr>
          <w:rFonts w:hint="eastAsia" w:ascii="宋体" w:hAnsi="宋体" w:eastAsia="宋体" w:cs="宋体"/>
          <w:sz w:val="28"/>
          <w:szCs w:val="28"/>
        </w:rPr>
        <w:t>年</w:t>
      </w:r>
      <w:r>
        <w:rPr>
          <w:rFonts w:hint="eastAsia" w:ascii="宋体" w:hAnsi="宋体" w:eastAsia="宋体" w:cs="宋体"/>
          <w:sz w:val="28"/>
          <w:szCs w:val="28"/>
          <w:lang w:val="en-US" w:eastAsia="zh-CN"/>
        </w:rPr>
        <w:t>11</w:t>
      </w:r>
      <w:r>
        <w:rPr>
          <w:rFonts w:hint="eastAsia" w:ascii="宋体" w:hAnsi="宋体" w:eastAsia="宋体" w:cs="宋体"/>
          <w:sz w:val="28"/>
          <w:szCs w:val="28"/>
        </w:rPr>
        <w:t>月</w:t>
      </w:r>
      <w:r>
        <w:rPr>
          <w:rFonts w:hint="eastAsia" w:ascii="宋体" w:hAnsi="宋体" w:eastAsia="宋体" w:cs="宋体"/>
          <w:sz w:val="28"/>
          <w:szCs w:val="28"/>
          <w:lang w:val="en-US" w:eastAsia="zh-CN"/>
        </w:rPr>
        <w:t>24</w:t>
      </w:r>
      <w:r>
        <w:rPr>
          <w:rFonts w:hint="eastAsia" w:ascii="宋体" w:hAnsi="宋体" w:eastAsia="宋体" w:cs="宋体"/>
          <w:sz w:val="28"/>
          <w:szCs w:val="28"/>
        </w:rPr>
        <w:t>日</w:t>
      </w:r>
    </w:p>
    <w:p>
      <w:pPr>
        <w:jc w:val="both"/>
        <w:rPr>
          <w:rFonts w:hint="eastAsia" w:eastAsiaTheme="minorEastAsia"/>
          <w:b/>
          <w:bCs/>
          <w:sz w:val="32"/>
          <w:szCs w:val="32"/>
          <w:lang w:eastAsia="zh-CN"/>
        </w:rPr>
      </w:pPr>
      <w:bookmarkStart w:id="0" w:name="_GoBack"/>
      <w:bookmarkEnd w:id="0"/>
      <w:r>
        <w:rPr>
          <w:rFonts w:hint="eastAsia"/>
          <w:b/>
          <w:bCs/>
          <w:sz w:val="32"/>
          <w:szCs w:val="32"/>
          <w:lang w:eastAsia="zh-CN"/>
        </w:rPr>
        <w:t>附：</w:t>
      </w:r>
    </w:p>
    <w:p>
      <w:pPr>
        <w:jc w:val="center"/>
        <w:rPr>
          <w:rFonts w:hint="eastAsia"/>
          <w:b/>
          <w:bCs/>
          <w:sz w:val="32"/>
          <w:szCs w:val="32"/>
        </w:rPr>
      </w:pPr>
      <w:r>
        <w:rPr>
          <w:rFonts w:hint="eastAsia"/>
          <w:b/>
          <w:bCs/>
          <w:sz w:val="32"/>
          <w:szCs w:val="32"/>
        </w:rPr>
        <w:t>关于解释重要矿产资源管理有关问题的复函</w:t>
      </w:r>
    </w:p>
    <w:p>
      <w:pPr>
        <w:jc w:val="center"/>
        <w:rPr>
          <w:rFonts w:hint="eastAsia"/>
          <w:sz w:val="24"/>
          <w:szCs w:val="24"/>
        </w:rPr>
      </w:pPr>
      <w:r>
        <w:rPr>
          <w:rFonts w:hint="eastAsia"/>
          <w:sz w:val="24"/>
          <w:szCs w:val="24"/>
        </w:rPr>
        <w:t>（</w:t>
      </w:r>
      <w:r>
        <w:rPr>
          <w:rFonts w:hint="eastAsia"/>
          <w:sz w:val="24"/>
          <w:szCs w:val="24"/>
          <w:lang w:val="en-US" w:eastAsia="zh-CN"/>
        </w:rPr>
        <w:t xml:space="preserve">1999年10月24日  中央机构编制委员会办公室  </w:t>
      </w:r>
      <w:r>
        <w:rPr>
          <w:rFonts w:hint="eastAsia"/>
          <w:sz w:val="24"/>
          <w:szCs w:val="24"/>
        </w:rPr>
        <w:t>中编办函[1999]107号）</w:t>
      </w:r>
    </w:p>
    <w:p>
      <w:pPr>
        <w:rPr>
          <w:rFonts w:hint="eastAsia"/>
          <w:sz w:val="28"/>
          <w:szCs w:val="28"/>
        </w:rPr>
      </w:pPr>
    </w:p>
    <w:p>
      <w:pPr>
        <w:rPr>
          <w:rFonts w:hint="eastAsia"/>
          <w:sz w:val="28"/>
          <w:szCs w:val="28"/>
        </w:rPr>
      </w:pPr>
      <w:r>
        <w:rPr>
          <w:rFonts w:hint="eastAsia"/>
          <w:sz w:val="28"/>
          <w:szCs w:val="28"/>
        </w:rPr>
        <w:t>国土资源部：</w:t>
      </w:r>
    </w:p>
    <w:p>
      <w:pPr>
        <w:ind w:firstLine="560" w:firstLineChars="200"/>
        <w:rPr>
          <w:rFonts w:hint="eastAsia"/>
          <w:sz w:val="28"/>
          <w:szCs w:val="28"/>
        </w:rPr>
      </w:pPr>
      <w:r>
        <w:rPr>
          <w:rFonts w:hint="eastAsia"/>
          <w:sz w:val="28"/>
          <w:szCs w:val="28"/>
        </w:rPr>
        <w:t>你部《关于解释重要矿产资源管理有关问题的函》（国土资函〔1999〕524号）收悉。经研究，现函复如下：</w:t>
      </w:r>
    </w:p>
    <w:p>
      <w:pPr>
        <w:rPr>
          <w:rFonts w:hint="eastAsia"/>
          <w:sz w:val="28"/>
          <w:szCs w:val="28"/>
        </w:rPr>
      </w:pPr>
      <w:r>
        <w:rPr>
          <w:rFonts w:hint="eastAsia"/>
          <w:sz w:val="28"/>
          <w:szCs w:val="28"/>
        </w:rPr>
        <w:t>　　根据1998年6月16日《国务院办公厅关于印发国土资源部职能配置内设机构和人员编制规定的通知》（国办发〔1998〕47号）中关于“原冶金工业部、煤炭工业部、化学工业部、中国核工业总公司、中国有色金属工业总公司等部门和单位行使的矿产资源行政管理职能”划入国土资源部的规定，国务院1998年2月12日发布的《矿产资源开采登记管理办法》第五条中“国务院有关主管部门的批准文件”是指：国务院矿产资源开采产业主管部门从矿产资源开采规划和行业准入的角度，对采矿权申请人在国家规划区内或者对国民经济具有重要价值的矿区内从事矿产资源开采活动，或开采国家实行保护性开采特定矿种的资质认定文件。</w:t>
      </w:r>
    </w:p>
    <w:p>
      <w:pPr>
        <w:ind w:firstLine="560" w:firstLineChars="200"/>
        <w:rPr>
          <w:rFonts w:hint="eastAsia"/>
          <w:sz w:val="28"/>
          <w:szCs w:val="28"/>
        </w:rPr>
      </w:pPr>
      <w:r>
        <w:rPr>
          <w:rFonts w:hint="eastAsia"/>
          <w:sz w:val="28"/>
          <w:szCs w:val="28"/>
        </w:rPr>
        <w:t xml:space="preserve">这一批准文件只是采矿权申请人根据《矿产资源开采登记管理办法》第五条的规定，向矿产资源开采登记管理机关提交的办理相关采矿许可证的必要资料之一。对没有提交这一批准文件的采矿权申请人，矿产资源开采登记管理机关不得为其办理相关的采矿许可证；对已提交这一批准文件的采矿权申请人，由矿产资源开采登记管理机关最终决定是否向其颁发相关的采矿许可证。采矿权申请人只有在取得矿产资源开采登记管理机关颁发的相关采矿许可证后，才能从事相关的矿产资源开采活动。 </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ayui-ico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64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333333"/>
      <w:u w:val="none"/>
      <w:bdr w:val="single" w:color="E6E6E6" w:sz="6" w:space="0"/>
    </w:rPr>
  </w:style>
  <w:style w:type="character" w:styleId="5">
    <w:name w:val="Emphasis"/>
    <w:basedOn w:val="3"/>
    <w:qFormat/>
    <w:uiPriority w:val="0"/>
    <w:rPr>
      <w:i/>
      <w:bdr w:val="none" w:color="auto" w:sz="0" w:space="0"/>
    </w:rPr>
  </w:style>
  <w:style w:type="character" w:styleId="6">
    <w:name w:val="Hyperlink"/>
    <w:basedOn w:val="3"/>
    <w:uiPriority w:val="0"/>
    <w:rPr>
      <w:color w:val="333333"/>
      <w:u w:val="none"/>
      <w:bdr w:val="none" w:color="auto" w:sz="0" w:space="0"/>
    </w:rPr>
  </w:style>
  <w:style w:type="character" w:customStyle="1" w:styleId="7">
    <w:name w:val="rong_zi2"/>
    <w:basedOn w:val="3"/>
    <w:uiPriority w:val="0"/>
  </w:style>
  <w:style w:type="character" w:customStyle="1" w:styleId="8">
    <w:name w:val="xfg-fxrr"/>
    <w:basedOn w:val="3"/>
    <w:uiPriority w:val="0"/>
  </w:style>
  <w:style w:type="character" w:customStyle="1" w:styleId="9">
    <w:name w:val="mylnr-jj2"/>
    <w:basedOn w:val="3"/>
    <w:uiPriority w:val="0"/>
  </w:style>
  <w:style w:type="character" w:customStyle="1" w:styleId="10">
    <w:name w:val="mylnr-dayin1"/>
    <w:basedOn w:val="3"/>
    <w:uiPriority w:val="0"/>
  </w:style>
  <w:style w:type="character" w:customStyle="1" w:styleId="11">
    <w:name w:val="mylnr-pdf"/>
    <w:basedOn w:val="3"/>
    <w:uiPriority w:val="0"/>
  </w:style>
  <w:style w:type="character" w:customStyle="1" w:styleId="12">
    <w:name w:val="xfg-fxjh"/>
    <w:basedOn w:val="3"/>
    <w:uiPriority w:val="0"/>
  </w:style>
  <w:style w:type="character" w:customStyle="1" w:styleId="13">
    <w:name w:val="xfg-fxsina"/>
    <w:basedOn w:val="3"/>
    <w:uiPriority w:val="0"/>
  </w:style>
  <w:style w:type="character" w:customStyle="1" w:styleId="14">
    <w:name w:val="xfg-fxdb"/>
    <w:basedOn w:val="3"/>
    <w:uiPriority w:val="0"/>
  </w:style>
  <w:style w:type="character" w:customStyle="1" w:styleId="15">
    <w:name w:val="xfg-fxqq"/>
    <w:basedOn w:val="3"/>
    <w:uiPriority w:val="0"/>
  </w:style>
  <w:style w:type="character" w:customStyle="1" w:styleId="16">
    <w:name w:val="w-zx-nr-tj-bt"/>
    <w:basedOn w:val="3"/>
    <w:uiPriority w:val="0"/>
  </w:style>
  <w:style w:type="character" w:customStyle="1" w:styleId="17">
    <w:name w:val="layui-laypage-curr"/>
    <w:basedOn w:val="3"/>
    <w:uiPriority w:val="0"/>
    <w:rPr>
      <w:bdr w:val="none" w:color="auto" w:sz="0" w:space="0"/>
    </w:rPr>
  </w:style>
  <w:style w:type="paragraph" w:styleId="18">
    <w:name w:val=""/>
    <w:basedOn w:val="1"/>
    <w:next w:val="1"/>
    <w:uiPriority w:val="0"/>
    <w:pPr>
      <w:pBdr>
        <w:bottom w:val="single" w:color="auto" w:sz="6" w:space="1"/>
      </w:pBdr>
      <w:jc w:val="center"/>
    </w:pPr>
    <w:rPr>
      <w:rFonts w:ascii="Arial" w:eastAsia="宋体"/>
      <w:vanish/>
      <w:sz w:val="16"/>
    </w:rPr>
  </w:style>
  <w:style w:type="paragraph" w:styleId="1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2021-04-12T07:43:41Z</dcterms:created>
  <dc:creator>Administrator</dc:creator>
  <cp:lastModifiedBy>雨露</cp:lastModifiedBy>
  <dcterms:modified xsi:type="dcterms:W3CDTF">2021-04-12T07:51:44Z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D5EEB50AD5774265BF15F6A2214ACE48</vt:lpwstr>
  </property>
</Properties>
</file>