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pPr>
      <w:r>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t>《财政部国土资源部关于探矿权采矿权</w:t>
      </w:r>
    </w:p>
    <w:p>
      <w:pPr>
        <w:jc w:val="center"/>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pPr>
      <w:r>
        <w:rPr>
          <w:rFonts w:hint="eastAsia" w:ascii="黑体" w:hAnsi="黑体" w:eastAsia="黑体" w:cs="黑体"/>
          <w:b/>
          <w:bCs/>
          <w:i w:val="0"/>
          <w:iCs w:val="0"/>
          <w:caps w:val="0"/>
          <w:color w:val="000000" w:themeColor="text1"/>
          <w:spacing w:val="0"/>
          <w:sz w:val="36"/>
          <w:szCs w:val="36"/>
          <w:shd w:val="clear" w:fill="FFFFFF"/>
          <w14:textFill>
            <w14:solidFill>
              <w14:schemeClr w14:val="tx1"/>
            </w14:solidFill>
          </w14:textFill>
        </w:rPr>
        <w:t>有偿取得制度改革有关问题的补充通知》</w:t>
      </w:r>
    </w:p>
    <w:p>
      <w:pPr>
        <w:jc w:val="cente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w:t>
      </w:r>
      <w:r>
        <w:rPr>
          <w:rFonts w:ascii="微软雅黑" w:hAnsi="微软雅黑" w:eastAsia="微软雅黑" w:cs="微软雅黑"/>
          <w:i w:val="0"/>
          <w:iCs w:val="0"/>
          <w:caps w:val="0"/>
          <w:color w:val="333333"/>
          <w:spacing w:val="0"/>
          <w:sz w:val="24"/>
          <w:szCs w:val="24"/>
          <w:shd w:val="clear" w:fill="FFFFFF"/>
        </w:rPr>
        <w:t>财建</w:t>
      </w:r>
      <w:r>
        <w:rPr>
          <w:rFonts w:hint="eastAsia" w:ascii="微软雅黑" w:hAnsi="微软雅黑" w:eastAsia="微软雅黑" w:cs="微软雅黑"/>
          <w:i w:val="0"/>
          <w:iCs w:val="0"/>
          <w:caps w:val="0"/>
          <w:color w:val="333333"/>
          <w:spacing w:val="0"/>
          <w:sz w:val="24"/>
          <w:szCs w:val="24"/>
          <w:shd w:val="clear" w:fill="FFFFFF"/>
        </w:rPr>
        <w:t>〔</w:t>
      </w:r>
      <w:r>
        <w:rPr>
          <w:rFonts w:ascii="微软雅黑" w:hAnsi="微软雅黑" w:eastAsia="微软雅黑" w:cs="微软雅黑"/>
          <w:i w:val="0"/>
          <w:iCs w:val="0"/>
          <w:caps w:val="0"/>
          <w:color w:val="333333"/>
          <w:spacing w:val="0"/>
          <w:sz w:val="24"/>
          <w:szCs w:val="24"/>
          <w:shd w:val="clear" w:fill="FFFFFF"/>
        </w:rPr>
        <w:t>2008</w:t>
      </w:r>
      <w:r>
        <w:rPr>
          <w:rFonts w:hint="eastAsia" w:ascii="微软雅黑" w:hAnsi="微软雅黑" w:eastAsia="微软雅黑" w:cs="微软雅黑"/>
          <w:i w:val="0"/>
          <w:iCs w:val="0"/>
          <w:caps w:val="0"/>
          <w:color w:val="333333"/>
          <w:spacing w:val="0"/>
          <w:sz w:val="24"/>
          <w:szCs w:val="24"/>
          <w:shd w:val="clear" w:fill="FFFFFF"/>
        </w:rPr>
        <w:t>〕</w:t>
      </w:r>
      <w:r>
        <w:rPr>
          <w:rFonts w:ascii="微软雅黑" w:hAnsi="微软雅黑" w:eastAsia="微软雅黑" w:cs="微软雅黑"/>
          <w:i w:val="0"/>
          <w:iCs w:val="0"/>
          <w:caps w:val="0"/>
          <w:color w:val="333333"/>
          <w:spacing w:val="0"/>
          <w:sz w:val="24"/>
          <w:szCs w:val="24"/>
          <w:shd w:val="clear" w:fill="FFFFFF"/>
        </w:rPr>
        <w:t>22号</w:t>
      </w:r>
      <w:r>
        <w:rPr>
          <w:rFonts w:hint="eastAsia" w:ascii="微软雅黑" w:hAnsi="微软雅黑" w:eastAsia="微软雅黑" w:cs="微软雅黑"/>
          <w:i w:val="0"/>
          <w:iCs w:val="0"/>
          <w:caps w:val="0"/>
          <w:color w:val="333333"/>
          <w:spacing w:val="0"/>
          <w:sz w:val="24"/>
          <w:szCs w:val="24"/>
          <w:shd w:val="clear" w:fill="FFFFFF"/>
          <w:lang w:val="en-US" w:eastAsia="zh-CN"/>
        </w:rPr>
        <w:t>)</w:t>
      </w:r>
    </w:p>
    <w:p>
      <w:pPr>
        <w:jc w:val="both"/>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各省、自治区、直辖市、计划单列市财政厅（局）、国土资源厅（局）： 　　</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经国务院批准，山西等8个煤炭主产省开展了深化煤炭资源有偿使用制度改革试点工作。财政部、国土资源部制定了《关于深化探矿权采矿权有偿取得制度改革有关问题的通知》（财建〔2006〕694号）、《以折股形式缴纳探矿权采矿权价款管理办法（试行）》（财建〔2006〕695号）等一系列配套政策。上述政策执行过程中，特别是在深化煤炭资源有偿使用制度改革试点过程中，有地方和部门反映，有些政策措施需要进一步明确或细化。为进一步规范和深化矿业权有偿取得制度改革，现就有关问题补充通知如下：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关于国家出资勘查并探明矿产地的界定。国家出资勘查并探明矿产地的界定，按照《关于清理国家出资勘查已探明矿产地的通知》（国土资厅发〔2000〕32号）中对出资范围、勘查程度和矿床规模的规定执行。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ascii="微软雅黑" w:hAnsi="微软雅黑" w:eastAsia="微软雅黑" w:cs="微软雅黑"/>
          <w:i w:val="0"/>
          <w:iCs w:val="0"/>
          <w:caps w:val="0"/>
          <w:color w:val="333333"/>
          <w:spacing w:val="0"/>
          <w:sz w:val="24"/>
          <w:szCs w:val="24"/>
          <w:shd w:val="clear" w:fill="FFFFFF"/>
        </w:rPr>
        <w:t>二、关于剩余资源储量核实问题。对无偿取得且尚未进行有偿处置的采矿权，剩余资源储量估算的基准日，各省已有规定的从其规定；没有规定的以2006年9月30日为准，按照现行规定进行核实、评审和备案。对由国土资源部登记发证的矿业权，与矿业权有偿处置有关的矿产资源储量评审、备案工作，国土资源部委托省级国土资源管理部门办理。对没有储量核实报告的采矿权，采矿权人可委托具备地质勘查资质的单位补充勘查，达到勘探程度并提交资源储量报告，经评审、备案后，作为采矿权价款评估的依据。对采矿权有偿处置时的资源储量核实，要注意对共伴生资源储量做出评价和估算。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三、关于矿业权价款评估问题。国土资源管理部门会同财政部门要加强对无偿占有（取得）的矿业权有偿处置过程中价款评估的管理。矿业权价款应委托矿业权评估机构评估，评估结果由国土资源管理部门按照有关规定进行备案。评估机构由国土资源管理部门商财政部门统一委托，采取公开、竞争的方式确定。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已转增为国家资本金的矿业权价款，原则上按已转增国家资本金的数额进行处置，不再另行对价款进行评估。矿业权价款已经评估备案但尚未进行有偿处置的，在评估备案的有效期限内，可以按已备案的评估结果缴纳矿业权价款。对由国土资源部登记发证的矿业权，与矿业权有偿处置有关的价款评估、备案工作，国土资源部委托省级国土资源管理部门办理。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关于以资金形式分期缴纳矿业权价款问题。国土资源管理部门要加强对分期缴纳矿业权价款的管理，由国土资源部登记发证的矿业权，其探矿权价款在500万元以下、采矿权价款在3000万元以下的，价款原则上一次性缴清；由地方登记发证的矿业权，其探矿权、采矿权价款一次性缴清的标准，由各省根据本省实际情况制定。 　　分期缴纳价款的矿业权人，应在价款评估备案后两个月内，向国土资源管理部门提交申请和分期缴款方案。国土资源管理部门对分期缴纳价款的期限、金额等进行审核后，发出“缴款通知书”。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分期缴纳价款的矿业权人应按中国人民银行发布的同档次银行贷款基准利率水平承担资金占用费。资金占用费计算基数为本期应缴纳价款的本金，计费期限为延期缴纳的天数，费率按缴款当日同档次银行贷款基准利率确定。对于分期缴纳价款期限内矿业权人提前缴款的，计费期限按实际延期缴纳的天数计算。矿业权人缴纳的资金占用费，参照矿业权价款进行管理，实行中央与地方2∶8分成。 　　国土资源管理部门依据矿业权人的申请、核准的分期缴款方案及本年度缴纳矿业权价款的凭证，办理矿业权的审批登记工作。凡未按核准的分期缴款方案足额缴纳矿业权价款的，一律不得办理登记发证和年检手续。实行分期缴款的探矿权人申请采矿权的，必须在申请划定矿区范围前缴清全部的探矿权价款；实行分期缴款的矿业权人申请转让矿业权的，应当缴清剩余的矿业权价款后才可办理转让手续。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关于以折股形式缴纳矿业权价款问题。财政、国土资源管理部门要严格按照权限办理以折股形式缴纳矿业权价款审批事宜。其中：中央财政出资勘查形成的矿业权，按程序报财政部、国土资源部审批；中央财政与地方财政共同出资勘查形成的矿业权，由省级财政、国土资源管理部门在核实中央、地方出资比例的基础上，报财政部、国土资源部审核确认后按程序分别审批；地方财政出资勘查形成的矿业权，按程序报省级财政、国土资源管理部门审批。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财政、国土资源管理部门要加强对以折股形式缴纳价款的矿业权出资情况的核实，具体核实工作可委托具备资质的社会中介机构承担。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关于由探矿权转为采矿权后缴纳价款问题。取得国家出资勘查矿产地的探矿权已转为采矿权，既未缴纳探矿权价款，也未缴纳采矿权价款的，采矿权人应缴纳采矿权价款。对本应设置采矿权却设置了探矿权的，应缴纳采矿权价款，已缴纳过探矿权价款的，可从应缴纳的采矿权价款中扣除。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关于已转增国家资本金的矿业权价款的处置问题。财政、国土资源管理部门要加强对已转增国家资本金的矿业权价款的清理，严格按照规定进行有偿处置。已转增国家资本金的矿业权价款的清理处置工作，由原批准转增国家资本金的财政、国土资源管理部门负责。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已将价款转增国家资本金的矿业权，经批准转让给新企业的，由原批准转增国家资本金的财政、国土资源管理部门向价款转增国家资本金的股份持有者追缴价款。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关于矿业权价款分成问题。矿业权价款收入中央与地方分成的时间界限，是指2006年9月1日以后出让（或有偿处置）的矿业权价款收入，一律实行中央与地方2∶8分成。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省级财政部门要制定完善省以下矿业权价款收入分成管理办法，地方分成的矿业权价款收入，原则上向资源产地倾斜。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关于“资源一次划定、分期分段出让”采矿权问题。对于资源储量大、服务年限长、一次性缴纳采矿权价款确有困难的矿山企业，国土资源管理部门可按照生产规模与资源量相匹配的原则，采取“资源一次划定、分期分段出让”的方式向矿山企业出让采矿权，并按规定收取采矿权价款。具体实施办法由国土资源部另行制定。各省可根据本省实际情况，研究制定具体的实施细则。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480" w:firstLineChars="200"/>
        <w:jc w:val="both"/>
        <w:textAlignment w:val="auto"/>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关于矿业权有偿处置相关费用的列支问题。各级国土资源管理部门在矿业权有偿处置过程中发生的资源储量核实、矿业权价款评估及其他相关费用，由同级财政部门核定，纳入财政预算管理，不得从矿业权价款收入中坐支。</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280" w:firstLineChars="2200"/>
        <w:jc w:val="both"/>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中华人民共和国财政部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5040" w:firstLineChars="2100"/>
        <w:jc w:val="both"/>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中华人民共和国国土资源部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5520" w:firstLineChars="2300"/>
        <w:jc w:val="both"/>
        <w:textAlignment w:val="auto"/>
        <w:rPr>
          <w:rFonts w:hint="default" w:ascii="微软雅黑" w:hAnsi="微软雅黑" w:eastAsia="微软雅黑" w:cs="微软雅黑"/>
          <w:i w:val="0"/>
          <w:iCs w:val="0"/>
          <w:caps w:val="0"/>
          <w:color w:val="333333"/>
          <w:spacing w:val="0"/>
          <w:sz w:val="24"/>
          <w:szCs w:val="24"/>
          <w:shd w:val="clear" w:fill="FFFFFF"/>
          <w:lang w:val="en-US" w:eastAsia="zh-CN"/>
        </w:rPr>
      </w:pPr>
      <w:bookmarkStart w:id="0" w:name="_GoBack"/>
      <w:bookmarkEnd w:id="0"/>
      <w:r>
        <w:rPr>
          <w:rFonts w:hint="eastAsia" w:ascii="微软雅黑" w:hAnsi="微软雅黑" w:eastAsia="微软雅黑" w:cs="微软雅黑"/>
          <w:i w:val="0"/>
          <w:iCs w:val="0"/>
          <w:caps w:val="0"/>
          <w:color w:val="333333"/>
          <w:spacing w:val="0"/>
          <w:sz w:val="24"/>
          <w:szCs w:val="24"/>
          <w:shd w:val="clear" w:fill="FFFFFF"/>
          <w:lang w:val="en-US" w:eastAsia="zh-CN"/>
        </w:rPr>
        <w:t>2008年2月28日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7642B"/>
    <w:multiLevelType w:val="singleLevel"/>
    <w:tmpl w:val="A117642B"/>
    <w:lvl w:ilvl="0" w:tentative="0">
      <w:start w:val="1"/>
      <w:numFmt w:val="chineseCounting"/>
      <w:suff w:val="nothing"/>
      <w:lvlText w:val="%1、"/>
      <w:lvlJc w:val="left"/>
      <w:rPr>
        <w:rFonts w:hint="eastAsia"/>
      </w:rPr>
    </w:lvl>
  </w:abstractNum>
  <w:abstractNum w:abstractNumId="1">
    <w:nsid w:val="45A80383"/>
    <w:multiLevelType w:val="singleLevel"/>
    <w:tmpl w:val="45A80383"/>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14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2021-04-22T06:31:52Z</dcterms:created>
  <dc:creator>Administrator</dc:creator>
  <cp:lastModifiedBy>雨露</cp:lastModifiedBy>
  <dcterms:modified xsi:type="dcterms:W3CDTF">2021-04-22T06:40:19Z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63703E4EBDF04E2AB87F17A39AA92E6D</vt:lpwstr>
  </property>
</Properties>
</file>