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eastAsia" w:asciiTheme="minorEastAsia" w:hAnsiTheme="minorEastAsia" w:eastAsiaTheme="minorEastAsia" w:cstheme="minorEastAsia"/>
          <w:b/>
          <w:bCs/>
          <w:i w:val="0"/>
          <w:iCs w:val="0"/>
          <w:caps w:val="0"/>
          <w:color w:val="222222"/>
          <w:spacing w:val="0"/>
          <w:sz w:val="36"/>
          <w:szCs w:val="36"/>
          <w:bdr w:val="none" w:color="auto" w:sz="0" w:space="0"/>
        </w:rPr>
      </w:pPr>
      <w:r>
        <w:rPr>
          <w:rFonts w:hint="eastAsia" w:asciiTheme="minorEastAsia" w:hAnsiTheme="minorEastAsia" w:eastAsiaTheme="minorEastAsia" w:cstheme="minorEastAsia"/>
          <w:b/>
          <w:bCs/>
          <w:i w:val="0"/>
          <w:iCs w:val="0"/>
          <w:caps w:val="0"/>
          <w:color w:val="222222"/>
          <w:spacing w:val="0"/>
          <w:sz w:val="36"/>
          <w:szCs w:val="36"/>
          <w:bdr w:val="none" w:color="auto" w:sz="0" w:space="0"/>
        </w:rPr>
        <w:t>财政部、国土资源部、环境保护部关于取消矿山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eastAsia" w:asciiTheme="minorEastAsia" w:hAnsiTheme="minorEastAsia" w:eastAsiaTheme="minorEastAsia" w:cstheme="minorEastAsia"/>
          <w:b/>
          <w:bCs/>
          <w:i w:val="0"/>
          <w:iCs w:val="0"/>
          <w:caps w:val="0"/>
          <w:color w:val="222222"/>
          <w:spacing w:val="0"/>
          <w:sz w:val="36"/>
          <w:szCs w:val="36"/>
          <w:bdr w:val="none" w:color="auto" w:sz="0" w:space="0"/>
        </w:rPr>
      </w:pPr>
      <w:r>
        <w:rPr>
          <w:rFonts w:hint="eastAsia" w:asciiTheme="minorEastAsia" w:hAnsiTheme="minorEastAsia" w:eastAsiaTheme="minorEastAsia" w:cstheme="minorEastAsia"/>
          <w:b/>
          <w:bCs/>
          <w:i w:val="0"/>
          <w:iCs w:val="0"/>
          <w:caps w:val="0"/>
          <w:color w:val="222222"/>
          <w:spacing w:val="0"/>
          <w:sz w:val="36"/>
          <w:szCs w:val="36"/>
          <w:bdr w:val="none" w:color="auto" w:sz="0" w:space="0"/>
        </w:rPr>
        <w:t>地质环境治理恢复保证金建立矿山地质环境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eastAsia" w:asciiTheme="minorEastAsia" w:hAnsiTheme="minorEastAsia" w:eastAsiaTheme="minorEastAsia" w:cstheme="minorEastAsia"/>
          <w:b/>
          <w:bCs/>
          <w:i w:val="0"/>
          <w:iCs w:val="0"/>
          <w:caps w:val="0"/>
          <w:color w:val="222222"/>
          <w:spacing w:val="0"/>
          <w:sz w:val="36"/>
          <w:szCs w:val="36"/>
          <w:bdr w:val="none" w:color="auto" w:sz="0" w:space="0"/>
        </w:rPr>
      </w:pPr>
      <w:r>
        <w:rPr>
          <w:rFonts w:hint="eastAsia" w:asciiTheme="minorEastAsia" w:hAnsiTheme="minorEastAsia" w:eastAsiaTheme="minorEastAsia" w:cstheme="minorEastAsia"/>
          <w:b/>
          <w:bCs/>
          <w:i w:val="0"/>
          <w:iCs w:val="0"/>
          <w:caps w:val="0"/>
          <w:color w:val="222222"/>
          <w:spacing w:val="0"/>
          <w:sz w:val="36"/>
          <w:szCs w:val="36"/>
          <w:bdr w:val="none" w:color="auto" w:sz="0" w:space="0"/>
        </w:rPr>
        <w:t>治理恢复基金的指导意见</w:t>
      </w:r>
    </w:p>
    <w:p>
      <w:pPr>
        <w:jc w:val="center"/>
        <w:rPr>
          <w:rFonts w:hint="eastAsia" w:ascii="宋体" w:hAnsi="宋体" w:eastAsia="宋体" w:cs="宋体"/>
          <w:b w:val="0"/>
          <w:bCs w:val="0"/>
          <w:i w:val="0"/>
          <w:iCs w:val="0"/>
          <w:caps w:val="0"/>
          <w:color w:val="000000" w:themeColor="text1"/>
          <w:spacing w:val="0"/>
          <w:sz w:val="36"/>
          <w:szCs w:val="36"/>
          <w:shd w:val="clear" w:color="auto" w:fill="auto"/>
          <w:lang w:val="en-US" w:eastAsia="zh-CN"/>
          <w14:textFill>
            <w14:solidFill>
              <w14:schemeClr w14:val="tx1"/>
            </w14:solidFill>
          </w14:textFill>
        </w:rPr>
      </w:pPr>
      <w:r>
        <w:rPr>
          <w:rFonts w:hint="eastAsia" w:ascii="宋体" w:hAnsi="宋体" w:eastAsia="宋体" w:cs="宋体"/>
          <w:b w:val="0"/>
          <w:bCs w:val="0"/>
          <w:i w:val="0"/>
          <w:iCs w:val="0"/>
          <w:caps w:val="0"/>
          <w:color w:val="000000" w:themeColor="text1"/>
          <w:spacing w:val="0"/>
          <w:sz w:val="36"/>
          <w:szCs w:val="36"/>
          <w:shd w:val="clear" w:color="auto" w:fill="auto"/>
          <w:lang w:val="en-US" w:eastAsia="zh-CN"/>
          <w14:textFill>
            <w14:solidFill>
              <w14:schemeClr w14:val="tx1"/>
            </w14:solidFill>
          </w14:textFill>
        </w:rPr>
        <w:t>(</w:t>
      </w:r>
      <w:r>
        <w:rPr>
          <w:rFonts w:hint="eastAsia" w:ascii="宋体" w:hAnsi="宋体" w:eastAsia="宋体" w:cs="宋体"/>
          <w:b w:val="0"/>
          <w:bCs w:val="0"/>
          <w:i w:val="0"/>
          <w:iCs w:val="0"/>
          <w:caps w:val="0"/>
          <w:color w:val="000000" w:themeColor="text1"/>
          <w:spacing w:val="0"/>
          <w:sz w:val="36"/>
          <w:szCs w:val="36"/>
          <w:shd w:val="clear" w:color="auto" w:fill="auto"/>
          <w14:textFill>
            <w14:solidFill>
              <w14:schemeClr w14:val="tx1"/>
            </w14:solidFill>
          </w14:textFill>
        </w:rPr>
        <w:t>财建</w:t>
      </w:r>
      <w:r>
        <w:rPr>
          <w:rFonts w:hint="eastAsia" w:ascii="微软雅黑" w:hAnsi="微软雅黑" w:eastAsia="微软雅黑" w:cs="微软雅黑"/>
          <w:b w:val="0"/>
          <w:bCs w:val="0"/>
          <w:i w:val="0"/>
          <w:iCs w:val="0"/>
          <w:caps w:val="0"/>
          <w:color w:val="000000" w:themeColor="text1"/>
          <w:spacing w:val="0"/>
          <w:sz w:val="36"/>
          <w:szCs w:val="36"/>
          <w:shd w:val="clear" w:color="auto" w:fill="auto"/>
          <w14:textFill>
            <w14:solidFill>
              <w14:schemeClr w14:val="tx1"/>
            </w14:solidFill>
          </w14:textFill>
        </w:rPr>
        <w:t>〔</w:t>
      </w:r>
      <w:r>
        <w:rPr>
          <w:rFonts w:hint="eastAsia" w:ascii="宋体" w:hAnsi="宋体" w:eastAsia="宋体" w:cs="宋体"/>
          <w:b w:val="0"/>
          <w:bCs w:val="0"/>
          <w:i w:val="0"/>
          <w:iCs w:val="0"/>
          <w:caps w:val="0"/>
          <w:color w:val="000000" w:themeColor="text1"/>
          <w:spacing w:val="0"/>
          <w:sz w:val="36"/>
          <w:szCs w:val="36"/>
          <w:shd w:val="clear" w:color="auto" w:fill="auto"/>
          <w14:textFill>
            <w14:solidFill>
              <w14:schemeClr w14:val="tx1"/>
            </w14:solidFill>
          </w14:textFill>
        </w:rPr>
        <w:t>2017</w:t>
      </w:r>
      <w:r>
        <w:rPr>
          <w:rFonts w:hint="eastAsia" w:ascii="微软雅黑" w:hAnsi="微软雅黑" w:eastAsia="微软雅黑" w:cs="微软雅黑"/>
          <w:b w:val="0"/>
          <w:bCs w:val="0"/>
          <w:i w:val="0"/>
          <w:iCs w:val="0"/>
          <w:caps w:val="0"/>
          <w:color w:val="000000" w:themeColor="text1"/>
          <w:spacing w:val="0"/>
          <w:sz w:val="36"/>
          <w:szCs w:val="36"/>
          <w:shd w:val="clear" w:color="auto" w:fill="auto"/>
          <w14:textFill>
            <w14:solidFill>
              <w14:schemeClr w14:val="tx1"/>
            </w14:solidFill>
          </w14:textFill>
        </w:rPr>
        <w:t>〕</w:t>
      </w:r>
      <w:r>
        <w:rPr>
          <w:rFonts w:hint="eastAsia" w:ascii="宋体" w:hAnsi="宋体" w:eastAsia="宋体" w:cs="宋体"/>
          <w:b w:val="0"/>
          <w:bCs w:val="0"/>
          <w:i w:val="0"/>
          <w:iCs w:val="0"/>
          <w:caps w:val="0"/>
          <w:color w:val="000000" w:themeColor="text1"/>
          <w:spacing w:val="0"/>
          <w:sz w:val="36"/>
          <w:szCs w:val="36"/>
          <w:shd w:val="clear" w:color="auto" w:fill="auto"/>
          <w14:textFill>
            <w14:solidFill>
              <w14:schemeClr w14:val="tx1"/>
            </w14:solidFill>
          </w14:textFill>
        </w:rPr>
        <w:t>638号</w:t>
      </w:r>
      <w:r>
        <w:rPr>
          <w:rFonts w:hint="eastAsia" w:ascii="宋体" w:hAnsi="宋体" w:eastAsia="宋体" w:cs="宋体"/>
          <w:b w:val="0"/>
          <w:bCs w:val="0"/>
          <w:i w:val="0"/>
          <w:iCs w:val="0"/>
          <w:caps w:val="0"/>
          <w:color w:val="000000" w:themeColor="text1"/>
          <w:spacing w:val="0"/>
          <w:sz w:val="36"/>
          <w:szCs w:val="36"/>
          <w:shd w:val="clear" w:color="auto" w:fill="auto"/>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480" w:lineRule="exact"/>
        <w:jc w:val="both"/>
        <w:textAlignment w:val="auto"/>
        <w:rPr>
          <w:rFonts w:hint="eastAsia" w:ascii="宋体" w:hAnsi="宋体" w:eastAsia="宋体" w:cs="宋体"/>
          <w:b w:val="0"/>
          <w:bCs w:val="0"/>
          <w:i w:val="0"/>
          <w:iCs w:val="0"/>
          <w:caps w:val="0"/>
          <w:color w:val="000000" w:themeColor="text1"/>
          <w:spacing w:val="0"/>
          <w:sz w:val="28"/>
          <w:szCs w:val="28"/>
          <w:shd w:val="clear" w:color="auto" w:fill="auto"/>
          <w:lang w:val="en-US" w:eastAsia="zh-CN"/>
          <w14:textFill>
            <w14:solidFill>
              <w14:schemeClr w14:val="tx1"/>
            </w14:solidFill>
          </w14:textFill>
        </w:rPr>
      </w:pPr>
      <w:r>
        <w:rPr>
          <w:rFonts w:hint="eastAsia" w:ascii="宋体" w:hAnsi="宋体" w:eastAsia="宋体" w:cs="宋体"/>
          <w:i w:val="0"/>
          <w:iCs w:val="0"/>
          <w:caps w:val="0"/>
          <w:color w:val="333333"/>
          <w:spacing w:val="0"/>
          <w:sz w:val="28"/>
          <w:szCs w:val="28"/>
          <w:shd w:val="clear" w:color="auto" w:fill="auto"/>
        </w:rPr>
        <w:t>各省、自治区、</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"https://www.66law.cn/hlzzq/" \o "直辖市"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直辖市</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、计划单列市财政厅（局）、国土资源主管部门、</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"https://www.66law.cn/zhuanti/hjbhy/" \o "环境保护"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环境保护</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厅（局），</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"https://www.66law.cn/xinjiang/" \o "新疆"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新疆</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生产建设兵团财务局、国土资源局、环境保护局：</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为贯彻落实《国务院关于印发矿产资源权益金制度改革方案的通知》（国发〔2017〕29号，以下简称《通知》），健全矿产资源有偿使用制度，落实企业矿山环境治理恢复责任，根据《中华人民共和国矿产资源法》《中华人民共和国环境保护法》《地质灾害防治条例》《矿山地质环境保护规定》，财政部、国土资源部、环境保护部就取消矿</w:t>
      </w:r>
      <w:bookmarkStart w:id="0" w:name="_GoBack"/>
      <w:r>
        <w:rPr>
          <w:rFonts w:hint="eastAsia" w:ascii="宋体" w:hAnsi="宋体" w:eastAsia="宋体" w:cs="宋体"/>
          <w:i w:val="0"/>
          <w:iCs w:val="0"/>
          <w:caps w:val="0"/>
          <w:color w:val="333333"/>
          <w:spacing w:val="0"/>
          <w:sz w:val="28"/>
          <w:szCs w:val="28"/>
          <w:shd w:val="clear" w:color="auto" w:fill="auto"/>
        </w:rPr>
        <w:t>山地质环境治理恢复</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"https://www.66law.cn/special/baozjin/" \o "保证金"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保证金</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（以下简称保证金），建立矿山地质环境</w:t>
      </w:r>
      <w:bookmarkEnd w:id="0"/>
      <w:r>
        <w:rPr>
          <w:rFonts w:hint="eastAsia" w:ascii="宋体" w:hAnsi="宋体" w:eastAsia="宋体" w:cs="宋体"/>
          <w:i w:val="0"/>
          <w:iCs w:val="0"/>
          <w:caps w:val="0"/>
          <w:color w:val="333333"/>
          <w:spacing w:val="0"/>
          <w:sz w:val="28"/>
          <w:szCs w:val="28"/>
          <w:shd w:val="clear" w:color="auto" w:fill="auto"/>
        </w:rPr>
        <w:t>治理恢复基金（以下简称基金）提出以下指导意见：</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一、取消保证金制度。矿山企业不再新设保证金专户，缴存保证金。已设立的保证金专户分类按程序取消，对于资金属企业所有，但需国土资源部门、财政部门等相关部门审批后动用，存缴至银行专用账户的保证金，应解除资金支取与审批动用手续的关系；对于汇缴至财政专户，由企业申请，经国土资源部门、财政部门等相关部门审批动用的保证金，按照企业实际缴纳资金数额与已用于该企业造成矿山地质环境问题治理的支出差额，归还企业；对治理责任主体已灭失的企业，保证金不予退还，由政府专项用于矿山地质环境治理恢复。企业应将退还的保证金转存为基金，用于已产生矿山地质环境问题的治理。省级财政部门会同同级国土资源等部门根据保证金管理的不同方式，尽快研究制定保证金退还具体办法，明确具体退还时限和程序，切实保障矿业权人合法权益。</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二、落实企业矿山地质环境治理恢复责任。保证金取消后，企业应承担矿山地质环境治理恢复责任，按照《关于做好矿山地质环境保护与土地复垦方案编报有关工作的通知》（国土资规〔2016〕21号）要求，综合开采条件、开采矿种、开采方式、开采规模、开采年限、地区开支水平等因素，编制矿山地质环境保护与土地复垦方案。落实企业监测主体责任，加强矿山地质环境监测。根据矿山地质环境保护与土地复垦方案和动态监测情况，督查企业边生产、边治理，对其在矿产资源勘查、开采活动中造成的矿山地质环境问题进行治理修复。</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三、通过建立基金的方式，筹集治理恢复资金。矿山企业按照满足实际需求的原则，根据其矿山地质环境保护与土地复垦方案，将矿山地质环境恢复治理费用按照企业会计准则相关规定预计弃置费用，计入相关资产的入账成本，在预计开采年限内按照产量比例等方法摊销，并计入生产成本。同时，矿山企业需在其银行账户中设立基金账户，单独反映基金的提取情况。</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基金由企业自主使用，根据其矿山地质环境保护与土地复垦方案确定的经费预算、工程实施计划、进度安排等，专项用于因矿产资源勘查开采活动造成的</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"https://www.66law.cn/kuangqu1/" \o "矿区"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矿区</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地面塌陷、地裂缝、崩塌、滑坡、地形地貌景观破坏，地下含水层破坏、地表植被损毁预防和修复治理以及矿山地质环境监测等方面（不含土地复垦）。</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矿山企业的基金提取、使用及矿山地质环境保护与治理恢复方案的执行情况须列入矿业权人勘查开采信息公示系统。</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四、建立动态监管机制。地方各级国土资源主管部门会同环境保护主管部门应建立动态化的监管机制，加强对企业矿山地质环境治理恢复的监督检查。对于未按照矿山地质环境保护与土地复垦方案开展恢复治理工作的企业，列入矿业权人异常名录或严重违法失信名单，责令其限期整改。对于逾期不整改或整改不到位的，不得批准其申请新的采矿许可证或者申请采矿许可证延期、变更、注销，不得批准其申请新的建设用地。对于拒不履行矿山地质环境恢复治理义务的企业，有关主管部门应将其违法违规信息建立信用记录，纳入全国信用信息共享平台，通过“信用中国”网站、国家企业信用信息公示系统等向社会公布，为相关行业、部门实施联合惩戒提供信息，并可指定符合条件的社会组织就其破坏生态环境的行为向人民</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"https://www.66law.cn/special/fayuan/" \o "法院"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法院</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提起公益诉讼，依据《中华人民共和国矿产资源法》《中华人民共和国环境保护法》《最高人民法院关于审理矿业权纠纷案件适用法律若干问题的解释》《矿山地质环境保护规定》等相关</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"https://www.66law.cn/tiaoli/" \o "法律法规"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法律法规</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规定对其进行处罚并追究其法律责任。对于拒不履行生效法律文书确定义务的被执行人，将由人民法院将其纳入</w:t>
      </w:r>
      <w:r>
        <w:rPr>
          <w:rFonts w:hint="eastAsia" w:ascii="宋体" w:hAnsi="宋体" w:eastAsia="宋体" w:cs="宋体"/>
          <w:i w:val="0"/>
          <w:iCs w:val="0"/>
          <w:caps w:val="0"/>
          <w:color w:val="333333"/>
          <w:spacing w:val="0"/>
          <w:sz w:val="28"/>
          <w:szCs w:val="28"/>
          <w:u w:val="none"/>
          <w:shd w:val="clear" w:color="auto" w:fill="auto"/>
        </w:rPr>
        <w:fldChar w:fldCharType="begin"/>
      </w:r>
      <w:r>
        <w:rPr>
          <w:rFonts w:hint="eastAsia" w:ascii="宋体" w:hAnsi="宋体" w:eastAsia="宋体" w:cs="宋体"/>
          <w:i w:val="0"/>
          <w:iCs w:val="0"/>
          <w:caps w:val="0"/>
          <w:color w:val="333333"/>
          <w:spacing w:val="0"/>
          <w:sz w:val="28"/>
          <w:szCs w:val="28"/>
          <w:u w:val="none"/>
          <w:shd w:val="clear" w:color="auto" w:fill="auto"/>
        </w:rPr>
        <w:instrText xml:space="preserve"> HYPERLINK "https://www.66law.cn/special/bzxr/" \o "失信被执行人" \t "https://www.66law.cn/tiaoli/_blank" </w:instrText>
      </w:r>
      <w:r>
        <w:rPr>
          <w:rFonts w:hint="eastAsia" w:ascii="宋体" w:hAnsi="宋体" w:eastAsia="宋体" w:cs="宋体"/>
          <w:i w:val="0"/>
          <w:iCs w:val="0"/>
          <w:caps w:val="0"/>
          <w:color w:val="333333"/>
          <w:spacing w:val="0"/>
          <w:sz w:val="28"/>
          <w:szCs w:val="28"/>
          <w:u w:val="none"/>
          <w:shd w:val="clear" w:color="auto" w:fill="auto"/>
        </w:rPr>
        <w:fldChar w:fldCharType="separate"/>
      </w:r>
      <w:r>
        <w:rPr>
          <w:rStyle w:val="5"/>
          <w:rFonts w:hint="eastAsia" w:ascii="宋体" w:hAnsi="宋体" w:eastAsia="宋体" w:cs="宋体"/>
          <w:i w:val="0"/>
          <w:iCs w:val="0"/>
          <w:caps w:val="0"/>
          <w:color w:val="333333"/>
          <w:spacing w:val="0"/>
          <w:sz w:val="28"/>
          <w:szCs w:val="28"/>
          <w:u w:val="none"/>
          <w:shd w:val="clear" w:color="auto" w:fill="auto"/>
        </w:rPr>
        <w:t>失信被执行人</w:t>
      </w:r>
      <w:r>
        <w:rPr>
          <w:rFonts w:hint="eastAsia" w:ascii="宋体" w:hAnsi="宋体" w:eastAsia="宋体" w:cs="宋体"/>
          <w:i w:val="0"/>
          <w:iCs w:val="0"/>
          <w:caps w:val="0"/>
          <w:color w:val="333333"/>
          <w:spacing w:val="0"/>
          <w:sz w:val="28"/>
          <w:szCs w:val="28"/>
          <w:u w:val="none"/>
          <w:shd w:val="clear" w:color="auto" w:fill="auto"/>
        </w:rPr>
        <w:fldChar w:fldCharType="end"/>
      </w:r>
      <w:r>
        <w:rPr>
          <w:rFonts w:hint="eastAsia" w:ascii="宋体" w:hAnsi="宋体" w:eastAsia="宋体" w:cs="宋体"/>
          <w:i w:val="0"/>
          <w:iCs w:val="0"/>
          <w:caps w:val="0"/>
          <w:color w:val="333333"/>
          <w:spacing w:val="0"/>
          <w:sz w:val="28"/>
          <w:szCs w:val="28"/>
          <w:shd w:val="clear" w:color="auto" w:fill="auto"/>
        </w:rPr>
        <w:t>名单，依法对其进行失信联合惩戒。</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五、各地应结合实际情况，根据指导意见的原则，制定本地区的矿山地质环境治理恢复基金管理办法，确保制度办法切实可行。</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rPr>
        <w:t>  六、本指导意见自印发之日起施行。《财政部 国土资源部 环保总局关于逐步建立矿山环境治理和生态恢复责任机制的指导意见》（财建〔2006〕215号）同时废止。</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lang w:val="en-US" w:eastAsia="zh-CN"/>
        </w:rPr>
        <w:t xml:space="preserve">                                  </w:t>
      </w:r>
      <w:r>
        <w:rPr>
          <w:rFonts w:hint="eastAsia" w:ascii="宋体" w:hAnsi="宋体" w:eastAsia="宋体" w:cs="宋体"/>
          <w:i w:val="0"/>
          <w:iCs w:val="0"/>
          <w:caps w:val="0"/>
          <w:color w:val="333333"/>
          <w:spacing w:val="0"/>
          <w:sz w:val="28"/>
          <w:szCs w:val="28"/>
          <w:shd w:val="clear" w:color="auto" w:fill="auto"/>
          <w:lang w:eastAsia="zh-CN"/>
        </w:rPr>
        <w:t>中华人民共和国</w:t>
      </w:r>
      <w:r>
        <w:rPr>
          <w:rFonts w:hint="eastAsia" w:ascii="宋体" w:hAnsi="宋体" w:eastAsia="宋体" w:cs="宋体"/>
          <w:i w:val="0"/>
          <w:iCs w:val="0"/>
          <w:caps w:val="0"/>
          <w:color w:val="333333"/>
          <w:spacing w:val="0"/>
          <w:sz w:val="28"/>
          <w:szCs w:val="28"/>
          <w:shd w:val="clear" w:color="auto" w:fill="auto"/>
        </w:rPr>
        <w:t>财政部</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lang w:val="en-US" w:eastAsia="zh-CN"/>
        </w:rPr>
        <w:t xml:space="preserve">                                </w:t>
      </w:r>
      <w:r>
        <w:rPr>
          <w:rFonts w:hint="eastAsia" w:ascii="宋体" w:hAnsi="宋体" w:eastAsia="宋体" w:cs="宋体"/>
          <w:i w:val="0"/>
          <w:iCs w:val="0"/>
          <w:caps w:val="0"/>
          <w:color w:val="333333"/>
          <w:spacing w:val="0"/>
          <w:sz w:val="28"/>
          <w:szCs w:val="28"/>
          <w:shd w:val="clear" w:color="auto" w:fill="auto"/>
          <w:lang w:eastAsia="zh-CN"/>
        </w:rPr>
        <w:t>中华人民共和国</w:t>
      </w:r>
      <w:r>
        <w:rPr>
          <w:rFonts w:hint="eastAsia" w:ascii="宋体" w:hAnsi="宋体" w:eastAsia="宋体" w:cs="宋体"/>
          <w:i w:val="0"/>
          <w:iCs w:val="0"/>
          <w:caps w:val="0"/>
          <w:color w:val="333333"/>
          <w:spacing w:val="0"/>
          <w:sz w:val="28"/>
          <w:szCs w:val="28"/>
          <w:shd w:val="clear" w:color="auto" w:fill="auto"/>
        </w:rPr>
        <w:t>国土资源部</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lang w:val="en-US" w:eastAsia="zh-CN"/>
        </w:rPr>
        <w:t xml:space="preserve">                                 </w:t>
      </w:r>
      <w:r>
        <w:rPr>
          <w:rFonts w:hint="eastAsia" w:ascii="宋体" w:hAnsi="宋体" w:eastAsia="宋体" w:cs="宋体"/>
          <w:i w:val="0"/>
          <w:iCs w:val="0"/>
          <w:caps w:val="0"/>
          <w:color w:val="333333"/>
          <w:spacing w:val="0"/>
          <w:sz w:val="28"/>
          <w:szCs w:val="28"/>
          <w:shd w:val="clear" w:color="auto" w:fill="auto"/>
          <w:lang w:eastAsia="zh-CN"/>
        </w:rPr>
        <w:t>中华人民共和国</w:t>
      </w:r>
      <w:r>
        <w:rPr>
          <w:rFonts w:hint="eastAsia" w:ascii="宋体" w:hAnsi="宋体" w:eastAsia="宋体" w:cs="宋体"/>
          <w:i w:val="0"/>
          <w:iCs w:val="0"/>
          <w:caps w:val="0"/>
          <w:color w:val="333333"/>
          <w:spacing w:val="0"/>
          <w:sz w:val="28"/>
          <w:szCs w:val="28"/>
          <w:shd w:val="clear" w:color="auto" w:fill="auto"/>
        </w:rPr>
        <w:t>环境保护部</w:t>
      </w:r>
      <w:r>
        <w:rPr>
          <w:rFonts w:hint="eastAsia" w:ascii="宋体" w:hAnsi="宋体" w:eastAsia="宋体" w:cs="宋体"/>
          <w:i w:val="0"/>
          <w:iCs w:val="0"/>
          <w:caps w:val="0"/>
          <w:color w:val="333333"/>
          <w:spacing w:val="0"/>
          <w:sz w:val="28"/>
          <w:szCs w:val="28"/>
          <w:shd w:val="clear" w:color="auto" w:fill="auto"/>
        </w:rPr>
        <w:br w:type="textWrapping"/>
      </w:r>
      <w:r>
        <w:rPr>
          <w:rFonts w:hint="eastAsia" w:ascii="宋体" w:hAnsi="宋体" w:eastAsia="宋体" w:cs="宋体"/>
          <w:i w:val="0"/>
          <w:iCs w:val="0"/>
          <w:caps w:val="0"/>
          <w:color w:val="333333"/>
          <w:spacing w:val="0"/>
          <w:sz w:val="28"/>
          <w:szCs w:val="28"/>
          <w:shd w:val="clear" w:color="auto" w:fill="auto"/>
          <w:lang w:val="en-US" w:eastAsia="zh-CN"/>
        </w:rPr>
        <w:t xml:space="preserve">                                     </w:t>
      </w:r>
      <w:r>
        <w:rPr>
          <w:rFonts w:hint="eastAsia" w:ascii="宋体" w:hAnsi="宋体" w:eastAsia="宋体" w:cs="宋体"/>
          <w:i w:val="0"/>
          <w:iCs w:val="0"/>
          <w:caps w:val="0"/>
          <w:color w:val="333333"/>
          <w:spacing w:val="0"/>
          <w:sz w:val="28"/>
          <w:szCs w:val="28"/>
          <w:shd w:val="clear" w:color="auto" w:fill="auto"/>
        </w:rPr>
        <w:t>2017年11月1日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087" w:usb1="28AF4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Lao UI">
    <w:panose1 w:val="020B0502040204020203"/>
    <w:charset w:val="00"/>
    <w:family w:val="auto"/>
    <w:pitch w:val="default"/>
    <w:sig w:usb0="020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Gisha">
    <w:panose1 w:val="020B0502040204020203"/>
    <w:charset w:val="00"/>
    <w:family w:val="auto"/>
    <w:pitch w:val="default"/>
    <w:sig w:usb0="80000807" w:usb1="40000042" w:usb2="00000000" w:usb3="00000000" w:csb0="00000021" w:csb1="00000000"/>
  </w:font>
  <w:font w:name="Franklin Gothic Medium">
    <w:panose1 w:val="020B0603020102020204"/>
    <w:charset w:val="00"/>
    <w:family w:val="auto"/>
    <w:pitch w:val="default"/>
    <w:sig w:usb0="00000287" w:usb1="00000000" w:usb2="00000000" w:usb3="00000000" w:csb0="2000009F" w:csb1="DFD70000"/>
  </w:font>
  <w:font w:name="Estrangelo Edessa">
    <w:panose1 w:val="03080600000000000000"/>
    <w:charset w:val="00"/>
    <w:family w:val="auto"/>
    <w:pitch w:val="default"/>
    <w:sig w:usb0="80002043" w:usb1="00000000" w:usb2="00000080" w:usb3="00000000" w:csb0="00000001" w:csb1="00000000"/>
  </w:font>
  <w:font w:name="DilleniaUPC">
    <w:panose1 w:val="02020603050405020304"/>
    <w:charset w:val="00"/>
    <w:family w:val="auto"/>
    <w:pitch w:val="default"/>
    <w:sig w:usb0="81000027" w:usb1="00000002" w:usb2="00000000" w:usb3="00000000" w:csb0="00010001" w:csb1="00000000"/>
  </w:font>
  <w:font w:name="FrankRuehl">
    <w:panose1 w:val="020E0503060101010101"/>
    <w:charset w:val="00"/>
    <w:family w:val="auto"/>
    <w:pitch w:val="default"/>
    <w:sig w:usb0="00000801" w:usb1="00000000" w:usb2="00000000" w:usb3="00000000" w:csb0="00000020" w:csb1="0020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Segoe UI Light">
    <w:panose1 w:val="020B0502040204020203"/>
    <w:charset w:val="00"/>
    <w:family w:val="auto"/>
    <w:pitch w:val="default"/>
    <w:sig w:usb0="E00002FF" w:usb1="4000A47B" w:usb2="00000001" w:usb3="00000000" w:csb0="2000019F" w:csb1="00000000"/>
  </w:font>
  <w:font w:name="Vijaya">
    <w:panose1 w:val="020B0604020202020204"/>
    <w:charset w:val="00"/>
    <w:family w:val="auto"/>
    <w:pitch w:val="default"/>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3E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2021-04-23T07:48:23Z</dcterms:created>
  <dc:creator>Administrator</dc:creator>
  <cp:lastModifiedBy>雨露</cp:lastModifiedBy>
  <dcterms:modified xsi:type="dcterms:W3CDTF">2021-04-23T07:52:33Z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FDA2F31A16584727A292BA2A6EAB7898</vt:lpwstr>
  </property>
</Properties>
</file>