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i w:val="0"/>
          <w:iCs w:val="0"/>
          <w:caps w:val="0"/>
          <w:color w:val="333333"/>
          <w:spacing w:val="8"/>
          <w:sz w:val="36"/>
          <w:szCs w:val="36"/>
          <w:shd w:val="clear" w:fill="FFFFFF"/>
        </w:rPr>
      </w:pPr>
      <w:r>
        <w:rPr>
          <w:rFonts w:hint="eastAsia" w:ascii="宋体" w:hAnsi="宋体" w:eastAsia="宋体" w:cs="宋体"/>
          <w:b/>
          <w:bCs/>
          <w:i w:val="0"/>
          <w:iCs w:val="0"/>
          <w:caps w:val="0"/>
          <w:color w:val="333333"/>
          <w:spacing w:val="8"/>
          <w:sz w:val="36"/>
          <w:szCs w:val="36"/>
          <w:shd w:val="clear" w:fill="FFFFFF"/>
        </w:rPr>
        <w:t>财政部 自然资源部关于进一步明确矿业权出让</w:t>
      </w:r>
    </w:p>
    <w:p>
      <w:pPr>
        <w:jc w:val="center"/>
        <w:rPr>
          <w:rFonts w:hint="eastAsia" w:ascii="宋体" w:hAnsi="宋体" w:eastAsia="宋体" w:cs="宋体"/>
          <w:b/>
          <w:bCs/>
          <w:i w:val="0"/>
          <w:iCs w:val="0"/>
          <w:caps w:val="0"/>
          <w:color w:val="333333"/>
          <w:spacing w:val="8"/>
          <w:sz w:val="36"/>
          <w:szCs w:val="36"/>
          <w:shd w:val="clear" w:fill="FFFFFF"/>
        </w:rPr>
      </w:pPr>
      <w:r>
        <w:rPr>
          <w:rFonts w:hint="eastAsia" w:ascii="宋体" w:hAnsi="宋体" w:eastAsia="宋体" w:cs="宋体"/>
          <w:b/>
          <w:bCs/>
          <w:i w:val="0"/>
          <w:iCs w:val="0"/>
          <w:caps w:val="0"/>
          <w:color w:val="333333"/>
          <w:spacing w:val="8"/>
          <w:sz w:val="36"/>
          <w:szCs w:val="36"/>
          <w:shd w:val="clear" w:fill="FFFFFF"/>
        </w:rPr>
        <w:t>收益征收管理有关问题的通知</w:t>
      </w:r>
    </w:p>
    <w:p>
      <w:pPr>
        <w:pStyle w:val="2"/>
        <w:keepNext w:val="0"/>
        <w:keepLines w:val="0"/>
        <w:widowControl/>
        <w:suppressLineNumbers w:val="0"/>
        <w:shd w:val="clear" w:fill="FFFFFF"/>
        <w:spacing w:before="0" w:beforeAutospacing="0" w:after="0" w:afterAutospacing="0"/>
        <w:ind w:left="0" w:right="0" w:firstLine="0"/>
        <w:jc w:val="center"/>
        <w:rPr>
          <w:rFonts w:hint="eastAsia" w:ascii="微软雅黑" w:hAnsi="微软雅黑" w:eastAsia="微软雅黑" w:cs="微软雅黑"/>
          <w:i w:val="0"/>
          <w:iCs w:val="0"/>
          <w:caps w:val="0"/>
          <w:color w:val="333333"/>
          <w:spacing w:val="8"/>
          <w:sz w:val="24"/>
          <w:szCs w:val="24"/>
          <w:shd w:val="clear" w:fill="FFFFFF"/>
          <w:lang w:val="en-US" w:eastAsia="zh-CN"/>
        </w:rPr>
      </w:pPr>
      <w:r>
        <w:rPr>
          <w:rFonts w:hint="eastAsia" w:ascii="微软雅黑" w:hAnsi="微软雅黑" w:eastAsia="微软雅黑" w:cs="微软雅黑"/>
          <w:i w:val="0"/>
          <w:iCs w:val="0"/>
          <w:caps w:val="0"/>
          <w:color w:val="333333"/>
          <w:spacing w:val="8"/>
          <w:sz w:val="24"/>
          <w:szCs w:val="24"/>
          <w:shd w:val="clear" w:fill="FFFFFF"/>
          <w:lang w:val="en-US" w:eastAsia="zh-CN"/>
        </w:rPr>
        <w:t>(</w:t>
      </w:r>
      <w:r>
        <w:rPr>
          <w:rFonts w:hint="eastAsia" w:ascii="微软雅黑" w:hAnsi="微软雅黑" w:eastAsia="微软雅黑" w:cs="微软雅黑"/>
          <w:i w:val="0"/>
          <w:iCs w:val="0"/>
          <w:caps w:val="0"/>
          <w:color w:val="333333"/>
          <w:spacing w:val="8"/>
          <w:sz w:val="24"/>
          <w:szCs w:val="24"/>
          <w:shd w:val="clear" w:fill="FFFFFF"/>
        </w:rPr>
        <w:t>财综〔2019〕11号</w:t>
      </w:r>
      <w:r>
        <w:rPr>
          <w:rFonts w:hint="eastAsia" w:ascii="微软雅黑" w:hAnsi="微软雅黑" w:eastAsia="微软雅黑" w:cs="微软雅黑"/>
          <w:i w:val="0"/>
          <w:iCs w:val="0"/>
          <w:caps w:val="0"/>
          <w:color w:val="333333"/>
          <w:spacing w:val="8"/>
          <w:sz w:val="24"/>
          <w:szCs w:val="24"/>
          <w:shd w:val="clear" w:fill="FFFFFF"/>
          <w:lang w:val="en-US" w:eastAsia="zh-CN"/>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right="0"/>
        <w:jc w:val="both"/>
        <w:textAlignment w:val="auto"/>
        <w:rPr>
          <w:rFonts w:hint="eastAsia" w:ascii="微软雅黑" w:hAnsi="微软雅黑" w:eastAsia="微软雅黑" w:cs="微软雅黑"/>
          <w:i w:val="0"/>
          <w:iCs w:val="0"/>
          <w:caps w:val="0"/>
          <w:color w:val="333333"/>
          <w:spacing w:val="8"/>
          <w:sz w:val="24"/>
          <w:szCs w:val="24"/>
        </w:rPr>
      </w:pPr>
      <w:r>
        <w:rPr>
          <w:rFonts w:hint="eastAsia" w:ascii="微软雅黑" w:hAnsi="微软雅黑" w:eastAsia="微软雅黑" w:cs="微软雅黑"/>
          <w:i w:val="0"/>
          <w:iCs w:val="0"/>
          <w:caps w:val="0"/>
          <w:color w:val="333333"/>
          <w:spacing w:val="8"/>
          <w:sz w:val="24"/>
          <w:szCs w:val="24"/>
          <w:shd w:val="clear" w:fill="FFFFFF"/>
        </w:rPr>
        <w:t>各省、自治区、直辖市、计划单列市财政厅(局)、自然资源主管部门，新疆生产建设兵团财政局、自然资源局:</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12" w:firstLineChars="200"/>
        <w:jc w:val="both"/>
        <w:textAlignment w:val="auto"/>
        <w:rPr>
          <w:rFonts w:hint="eastAsia" w:ascii="微软雅黑" w:hAnsi="微软雅黑" w:eastAsia="微软雅黑" w:cs="微软雅黑"/>
          <w:i w:val="0"/>
          <w:iCs w:val="0"/>
          <w:caps w:val="0"/>
          <w:color w:val="333333"/>
          <w:spacing w:val="8"/>
          <w:sz w:val="24"/>
          <w:szCs w:val="24"/>
        </w:rPr>
      </w:pPr>
      <w:r>
        <w:rPr>
          <w:rFonts w:hint="eastAsia" w:ascii="微软雅黑" w:hAnsi="微软雅黑" w:eastAsia="微软雅黑" w:cs="微软雅黑"/>
          <w:i w:val="0"/>
          <w:iCs w:val="0"/>
          <w:caps w:val="0"/>
          <w:color w:val="333333"/>
          <w:spacing w:val="8"/>
          <w:sz w:val="24"/>
          <w:szCs w:val="24"/>
          <w:shd w:val="clear" w:fill="FFFFFF"/>
        </w:rPr>
        <w:t>为进一步做好矿业权出让收益征收管理工作，根据《矿产资源权益金制度改革方案》(国发〔2017〕29号)、《矿业权出让收益征收管理暂行办法》(财综〔2017〕35号)等规定，现就有关问题明确如下:</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12" w:firstLineChars="200"/>
        <w:jc w:val="both"/>
        <w:textAlignment w:val="auto"/>
        <w:rPr>
          <w:rFonts w:hint="eastAsia" w:ascii="微软雅黑" w:hAnsi="微软雅黑" w:eastAsia="微软雅黑" w:cs="微软雅黑"/>
          <w:i w:val="0"/>
          <w:iCs w:val="0"/>
          <w:caps w:val="0"/>
          <w:color w:val="333333"/>
          <w:spacing w:val="8"/>
          <w:sz w:val="24"/>
          <w:szCs w:val="24"/>
        </w:rPr>
      </w:pPr>
      <w:r>
        <w:rPr>
          <w:rFonts w:hint="eastAsia" w:ascii="微软雅黑" w:hAnsi="微软雅黑" w:eastAsia="微软雅黑" w:cs="微软雅黑"/>
          <w:i w:val="0"/>
          <w:iCs w:val="0"/>
          <w:caps w:val="0"/>
          <w:color w:val="333333"/>
          <w:spacing w:val="8"/>
          <w:sz w:val="24"/>
          <w:szCs w:val="24"/>
          <w:shd w:val="clear" w:fill="FFFFFF"/>
        </w:rPr>
        <w:t>一、财综〔2017〕35号文件印发前，按规定分期缴纳探矿权采矿权价款的矿业权人应缴纳的资金占用费，继续按照原矿业权出让合同或分期缴款批复缴纳，缴入矿业权出让收益科目，并统一按规定比例分成。</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12" w:firstLineChars="200"/>
        <w:jc w:val="both"/>
        <w:textAlignment w:val="auto"/>
        <w:rPr>
          <w:rFonts w:hint="eastAsia" w:ascii="微软雅黑" w:hAnsi="微软雅黑" w:eastAsia="微软雅黑" w:cs="微软雅黑"/>
          <w:i w:val="0"/>
          <w:iCs w:val="0"/>
          <w:caps w:val="0"/>
          <w:color w:val="333333"/>
          <w:spacing w:val="8"/>
          <w:sz w:val="24"/>
          <w:szCs w:val="24"/>
        </w:rPr>
      </w:pPr>
      <w:r>
        <w:rPr>
          <w:rFonts w:hint="eastAsia" w:ascii="微软雅黑" w:hAnsi="微软雅黑" w:eastAsia="微软雅黑" w:cs="微软雅黑"/>
          <w:i w:val="0"/>
          <w:iCs w:val="0"/>
          <w:caps w:val="0"/>
          <w:color w:val="333333"/>
          <w:spacing w:val="8"/>
          <w:sz w:val="24"/>
          <w:szCs w:val="24"/>
          <w:shd w:val="clear" w:fill="FFFFFF"/>
        </w:rPr>
        <w:t>二、对于法律法规或国务院规定明确要求支持的承担特殊职能的非营利性矿山企业，缴纳矿业权出让收益确有困难的，经财政部、自然资源部批准，可在一定期限内缓缴应缴矿业权出让收益。</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12" w:firstLineChars="200"/>
        <w:jc w:val="both"/>
        <w:textAlignment w:val="auto"/>
        <w:rPr>
          <w:rFonts w:hint="eastAsia" w:ascii="微软雅黑" w:hAnsi="微软雅黑" w:eastAsia="微软雅黑" w:cs="微软雅黑"/>
          <w:i w:val="0"/>
          <w:iCs w:val="0"/>
          <w:caps w:val="0"/>
          <w:color w:val="333333"/>
          <w:spacing w:val="8"/>
          <w:sz w:val="24"/>
          <w:szCs w:val="24"/>
        </w:rPr>
      </w:pPr>
      <w:r>
        <w:rPr>
          <w:rFonts w:hint="eastAsia" w:ascii="微软雅黑" w:hAnsi="微软雅黑" w:eastAsia="微软雅黑" w:cs="微软雅黑"/>
          <w:i w:val="0"/>
          <w:iCs w:val="0"/>
          <w:caps w:val="0"/>
          <w:color w:val="333333"/>
          <w:spacing w:val="8"/>
          <w:sz w:val="24"/>
          <w:szCs w:val="24"/>
          <w:shd w:val="clear" w:fill="FFFFFF"/>
        </w:rPr>
        <w:t>三、矿业权出让收益滞纳金缴入矿业权出让收益科目，并统一按规定比例分成。</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right="0" w:firstLine="5120" w:firstLineChars="2000"/>
        <w:jc w:val="both"/>
        <w:textAlignment w:val="auto"/>
        <w:rPr>
          <w:rFonts w:hint="eastAsia" w:ascii="微软雅黑" w:hAnsi="微软雅黑" w:eastAsia="微软雅黑" w:cs="微软雅黑"/>
          <w:i w:val="0"/>
          <w:iCs w:val="0"/>
          <w:caps w:val="0"/>
          <w:color w:val="333333"/>
          <w:spacing w:val="8"/>
          <w:sz w:val="24"/>
          <w:szCs w:val="24"/>
        </w:rPr>
      </w:pPr>
      <w:r>
        <w:rPr>
          <w:rFonts w:hint="eastAsia" w:ascii="微软雅黑" w:hAnsi="微软雅黑" w:eastAsia="微软雅黑" w:cs="微软雅黑"/>
          <w:i w:val="0"/>
          <w:iCs w:val="0"/>
          <w:caps w:val="0"/>
          <w:color w:val="333333"/>
          <w:spacing w:val="8"/>
          <w:sz w:val="24"/>
          <w:szCs w:val="24"/>
          <w:shd w:val="clear" w:fill="FFFFFF"/>
          <w:lang w:eastAsia="zh-CN"/>
        </w:rPr>
        <w:t>中华人民共和国</w:t>
      </w:r>
      <w:r>
        <w:rPr>
          <w:rFonts w:hint="eastAsia" w:ascii="微软雅黑" w:hAnsi="微软雅黑" w:eastAsia="微软雅黑" w:cs="微软雅黑"/>
          <w:i w:val="0"/>
          <w:iCs w:val="0"/>
          <w:caps w:val="0"/>
          <w:color w:val="333333"/>
          <w:spacing w:val="8"/>
          <w:sz w:val="24"/>
          <w:szCs w:val="24"/>
          <w:shd w:val="clear" w:fill="FFFFFF"/>
        </w:rPr>
        <w:t>财政部</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4864" w:firstLineChars="1900"/>
        <w:jc w:val="both"/>
        <w:textAlignment w:val="auto"/>
        <w:rPr>
          <w:rFonts w:hint="eastAsia" w:ascii="微软雅黑" w:hAnsi="微软雅黑" w:eastAsia="微软雅黑" w:cs="微软雅黑"/>
          <w:i w:val="0"/>
          <w:iCs w:val="0"/>
          <w:caps w:val="0"/>
          <w:color w:val="333333"/>
          <w:spacing w:val="8"/>
          <w:sz w:val="24"/>
          <w:szCs w:val="24"/>
        </w:rPr>
      </w:pPr>
      <w:r>
        <w:rPr>
          <w:rFonts w:hint="eastAsia" w:ascii="微软雅黑" w:hAnsi="微软雅黑" w:eastAsia="微软雅黑" w:cs="微软雅黑"/>
          <w:i w:val="0"/>
          <w:iCs w:val="0"/>
          <w:caps w:val="0"/>
          <w:color w:val="333333"/>
          <w:spacing w:val="8"/>
          <w:sz w:val="24"/>
          <w:szCs w:val="24"/>
          <w:shd w:val="clear" w:fill="FFFFFF"/>
          <w:lang w:eastAsia="zh-CN"/>
        </w:rPr>
        <w:t>中华人民共和国</w:t>
      </w:r>
      <w:r>
        <w:rPr>
          <w:rFonts w:hint="eastAsia" w:ascii="微软雅黑" w:hAnsi="微软雅黑" w:eastAsia="微软雅黑" w:cs="微软雅黑"/>
          <w:i w:val="0"/>
          <w:iCs w:val="0"/>
          <w:caps w:val="0"/>
          <w:color w:val="333333"/>
          <w:spacing w:val="8"/>
          <w:sz w:val="24"/>
          <w:szCs w:val="24"/>
          <w:shd w:val="clear" w:fill="FFFFFF"/>
        </w:rPr>
        <w:t>自然资源部</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80" w:lineRule="exact"/>
        <w:ind w:left="0" w:right="0" w:firstLine="5376" w:firstLineChars="2100"/>
        <w:jc w:val="both"/>
        <w:textAlignment w:val="auto"/>
        <w:rPr>
          <w:rFonts w:hint="eastAsia" w:ascii="微软雅黑" w:hAnsi="微软雅黑" w:eastAsia="微软雅黑" w:cs="微软雅黑"/>
          <w:i w:val="0"/>
          <w:iCs w:val="0"/>
          <w:caps w:val="0"/>
          <w:color w:val="333333"/>
          <w:spacing w:val="8"/>
          <w:sz w:val="24"/>
          <w:szCs w:val="24"/>
        </w:rPr>
      </w:pPr>
      <w:bookmarkStart w:id="0" w:name="_GoBack"/>
      <w:bookmarkEnd w:id="0"/>
      <w:r>
        <w:rPr>
          <w:rFonts w:hint="eastAsia" w:ascii="微软雅黑" w:hAnsi="微软雅黑" w:eastAsia="微软雅黑" w:cs="微软雅黑"/>
          <w:i w:val="0"/>
          <w:iCs w:val="0"/>
          <w:caps w:val="0"/>
          <w:color w:val="333333"/>
          <w:spacing w:val="8"/>
          <w:sz w:val="24"/>
          <w:szCs w:val="24"/>
          <w:shd w:val="clear" w:fill="FFFFFF"/>
        </w:rPr>
        <w:t>2019年4月2日</w:t>
      </w:r>
    </w:p>
    <w:p>
      <w:pPr>
        <w:jc w:val="both"/>
        <w:rPr>
          <w:rFonts w:hint="eastAsia" w:ascii="宋体" w:hAnsi="宋体" w:eastAsia="宋体" w:cs="宋体"/>
          <w:b/>
          <w:bCs/>
          <w:i w:val="0"/>
          <w:iCs w:val="0"/>
          <w:caps w:val="0"/>
          <w:color w:val="333333"/>
          <w:spacing w:val="8"/>
          <w:sz w:val="36"/>
          <w:szCs w:val="36"/>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6B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2021-04-23T07:58:30Z</dcterms:created>
  <dc:creator>Administrator</dc:creator>
  <cp:lastModifiedBy>雨露</cp:lastModifiedBy>
  <dcterms:modified xsi:type="dcterms:W3CDTF">2021-04-23T08:01:17Z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6EF97F57AEFF4E69B1A0FE1866B0820A</vt:lpwstr>
  </property>
</Properties>
</file>