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720" w:lineRule="atLeast"/>
        <w:ind w:left="0" w:right="0" w:firstLine="0"/>
        <w:jc w:val="center"/>
        <w:textAlignment w:val="auto"/>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财政部 国土资源部 环保总局关于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720" w:lineRule="atLeast"/>
        <w:ind w:left="0" w:right="0" w:firstLine="0"/>
        <w:jc w:val="center"/>
        <w:textAlignment w:val="auto"/>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逐步建立矿山环境治理和生态恢复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720" w:lineRule="atLeast"/>
        <w:ind w:left="0" w:right="0" w:firstLine="0"/>
        <w:jc w:val="center"/>
        <w:textAlignment w:val="auto"/>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bdr w:val="none" w:color="auto" w:sz="0" w:space="0"/>
        </w:rPr>
        <w:t>责任机制的指导意见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jc w:val="center"/>
        <w:textAlignment w:val="auto"/>
        <w:rPr>
          <w:rFonts w:hint="eastAsia" w:ascii="宋体" w:hAnsi="宋体" w:eastAsia="宋体" w:cs="宋体"/>
          <w:i w:val="0"/>
          <w:iCs w:val="0"/>
          <w:caps w:val="0"/>
          <w:color w:val="000000"/>
          <w:spacing w:val="0"/>
          <w:sz w:val="28"/>
          <w:szCs w:val="28"/>
          <w:bdr w:val="none" w:color="auto" w:sz="0" w:space="0"/>
          <w:lang w:val="en-US" w:eastAsia="zh-CN"/>
        </w:rPr>
      </w:pPr>
      <w:bookmarkStart w:id="0" w:name="_GoBack"/>
      <w:r>
        <w:rPr>
          <w:rFonts w:hint="eastAsia" w:ascii="宋体" w:hAnsi="宋体" w:eastAsia="宋体" w:cs="宋体"/>
          <w:i w:val="0"/>
          <w:iCs w:val="0"/>
          <w:caps w:val="0"/>
          <w:color w:val="000000"/>
          <w:spacing w:val="0"/>
          <w:sz w:val="28"/>
          <w:szCs w:val="28"/>
          <w:bdr w:val="none" w:color="auto" w:sz="0" w:space="0"/>
          <w:lang w:val="en-US" w:eastAsia="zh-CN"/>
        </w:rPr>
        <w:t>（</w:t>
      </w:r>
      <w:r>
        <w:rPr>
          <w:rFonts w:hint="eastAsia" w:ascii="宋体" w:hAnsi="宋体" w:eastAsia="宋体" w:cs="宋体"/>
          <w:i w:val="0"/>
          <w:iCs w:val="0"/>
          <w:caps w:val="0"/>
          <w:color w:val="000000"/>
          <w:spacing w:val="0"/>
          <w:sz w:val="28"/>
          <w:szCs w:val="28"/>
          <w:shd w:val="clear" w:fill="FFFFFF"/>
        </w:rPr>
        <w:t>财建〔2006〕215号</w:t>
      </w:r>
      <w:r>
        <w:rPr>
          <w:rFonts w:hint="eastAsia" w:ascii="宋体" w:hAnsi="宋体" w:eastAsia="宋体" w:cs="宋体"/>
          <w:i w:val="0"/>
          <w:iCs w:val="0"/>
          <w:caps w:val="0"/>
          <w:color w:val="000000"/>
          <w:spacing w:val="0"/>
          <w:sz w:val="28"/>
          <w:szCs w:val="28"/>
          <w:bdr w:val="none" w:color="auto" w:sz="0" w:space="0"/>
          <w:lang w:val="en-US" w:eastAsia="zh-CN"/>
        </w:rPr>
        <w:t>）</w:t>
      </w:r>
    </w:p>
    <w:bookmarkEnd w:id="0"/>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rPr>
        <w:t>各省、自治区、直辖市、计划单列市财政厅（局）、国土资源厅（局）、环境保护局（厅）：</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rPr>
        <w:t>　  为了加强矿山环境治理和生态恢复，促使矿山企业合理负担其资源与环境成本，理顺资源价格形成机制，根据《矿产资源法》、《环境保护法》中有关加强生态环境保护、防止环境污染的有关规定，贯彻落实《国务院关于全面整顿和规范矿产资源开发秩序的通知》（国发[2005]28号）的有关要求，财政部、国土资源部、环保总局就逐步建立矿山环境治理和生态恢复责任机制提出指导意见如下：</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rPr>
        <w:t>　  一、从2006年起要逐步建立矿山环境治理和生态恢复责任机制。各地可根据本地实际，选择煤炭等行业的矿山进行试点，在试点的基础上再全面推开。具备条件的地区可先行在所有矿山企业普遍推开。</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rPr>
        <w:t>　  二、地方环境保护、国土资源行政主管部门应当组织有资质的机构对试点矿山逐个进行评估，按照基本恢复矿山环境和生态功能的原则，提出矿山环境治理和生态恢复目标及要求。地方国土资源、环境保护行政主管部门应当督促新建和已投产矿山企业根据上述要求，制订矿山生态环境保护和综合治理方案，并提出达到矿山环境治理及生态恢复目标的具体措施。在此基础上，地方国土资源、环境保护行政主管部门要会同财政部门依据新矿山设计年限或已服役矿山的剩余寿命，以及环境治理和生态恢复所需要的费用等因素，确定按矿产品销售收入的一定比例，由矿山企业分年预提矿山环境治理恢复保证金，并列入成本。</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rPr>
        <w:t>　  三、各地要按照“企业所有、政府监管、专款专用”的原则，由企业在地方财政部门指定的银行开设保证金帐户，并按规定使用资金。地方财政部门会同国土资源、环境保护行政主管部门对企业预提的矿山环境治理恢复保证金进行监管。具体办法由各地根据本地区企业实际情况和国家有关规定自行制定。</w:t>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firstLine="0" w:firstLineChars="0"/>
        <w:jc w:val="both"/>
        <w:textAlignment w:val="auto"/>
        <w:rPr>
          <w:rFonts w:hint="eastAsia" w:ascii="宋体" w:hAnsi="宋体" w:eastAsia="宋体" w:cs="宋体"/>
          <w:i w:val="0"/>
          <w:iCs w:val="0"/>
          <w:caps w:val="0"/>
          <w:color w:val="000000"/>
          <w:spacing w:val="0"/>
          <w:sz w:val="28"/>
          <w:szCs w:val="28"/>
          <w:bdr w:val="none" w:color="auto" w:sz="0" w:space="0"/>
        </w:rPr>
      </w:pPr>
      <w:r>
        <w:rPr>
          <w:rFonts w:hint="eastAsia" w:ascii="宋体" w:hAnsi="宋体" w:eastAsia="宋体" w:cs="宋体"/>
          <w:i w:val="0"/>
          <w:iCs w:val="0"/>
          <w:caps w:val="0"/>
          <w:color w:val="000000"/>
          <w:spacing w:val="0"/>
          <w:sz w:val="28"/>
          <w:szCs w:val="28"/>
          <w:bdr w:val="none" w:color="auto" w:sz="0" w:space="0"/>
        </w:rPr>
        <w:t>对本通知发布前的矿山环境治理问题，各级政府要制定矿区环境治理和生态恢复规划，按企业和政府共同负担的原则加大投入力度。对不属于企业职责或责任人已经灭失的矿山环境问题，以地方政府为主根据财力区分重点逐步解决。</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rPr>
        <w:t>　  五、各级财政、国土资源、环境保护行政主管部门要高度重视建立矿山环境治理和生态恢复责任机制的工作，切实负起责任，采取有效措施督促企业按规定提取矿山环境治理恢复保证金，确保资金专项用于矿山环境治理和生态恢复。财政部、国土资源部、环保总局将对各地工作进行指导和检查，并研究采取必要措施推动此项工作。</w:t>
      </w:r>
      <w:r>
        <w:rPr>
          <w:rFonts w:hint="eastAsia" w:ascii="宋体" w:hAnsi="宋体" w:eastAsia="宋体" w:cs="宋体"/>
          <w:i w:val="0"/>
          <w:iCs w:val="0"/>
          <w:caps w:val="0"/>
          <w:color w:val="000000"/>
          <w:spacing w:val="0"/>
          <w:sz w:val="28"/>
          <w:szCs w:val="28"/>
          <w:bdr w:val="none" w:color="auto" w:sz="0" w:space="0"/>
        </w:rPr>
        <w:br w:type="textWrapping"/>
      </w:r>
      <w:r>
        <w:rPr>
          <w:rFonts w:hint="eastAsia" w:ascii="宋体" w:hAnsi="宋体" w:eastAsia="宋体" w:cs="宋体"/>
          <w:i w:val="0"/>
          <w:iCs w:val="0"/>
          <w:caps w:val="0"/>
          <w:color w:val="000000"/>
          <w:spacing w:val="0"/>
          <w:sz w:val="28"/>
          <w:szCs w:val="28"/>
          <w:bdr w:val="none" w:color="auto" w:sz="0" w:space="0"/>
          <w:lang w:val="en-US" w:eastAsia="zh-CN"/>
        </w:rPr>
        <w:t xml:space="preserve">                              </w:t>
      </w:r>
      <w:r>
        <w:rPr>
          <w:rFonts w:hint="eastAsia" w:ascii="宋体" w:hAnsi="宋体" w:eastAsia="宋体" w:cs="宋体"/>
          <w:i w:val="0"/>
          <w:iCs w:val="0"/>
          <w:caps w:val="0"/>
          <w:color w:val="000000"/>
          <w:spacing w:val="0"/>
          <w:sz w:val="28"/>
          <w:szCs w:val="28"/>
          <w:bdr w:val="none" w:color="auto" w:sz="0" w:space="0"/>
          <w:lang w:eastAsia="zh-CN"/>
        </w:rPr>
        <w:t>中华人民共和国</w:t>
      </w:r>
      <w:r>
        <w:rPr>
          <w:rFonts w:hint="eastAsia" w:ascii="宋体" w:hAnsi="宋体" w:eastAsia="宋体" w:cs="宋体"/>
          <w:i w:val="0"/>
          <w:iCs w:val="0"/>
          <w:caps w:val="0"/>
          <w:color w:val="000000"/>
          <w:spacing w:val="0"/>
          <w:sz w:val="28"/>
          <w:szCs w:val="28"/>
          <w:bdr w:val="none" w:color="auto" w:sz="0" w:space="0"/>
        </w:rPr>
        <w:t xml:space="preserve">财政部 </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right="0" w:rightChars="0" w:firstLine="3920" w:firstLineChars="1400"/>
        <w:jc w:val="both"/>
        <w:textAlignment w:val="auto"/>
        <w:rPr>
          <w:rFonts w:hint="eastAsia" w:ascii="宋体" w:hAnsi="宋体" w:eastAsia="宋体" w:cs="宋体"/>
          <w:i w:val="0"/>
          <w:iCs w:val="0"/>
          <w:caps w:val="0"/>
          <w:color w:val="000000"/>
          <w:spacing w:val="0"/>
          <w:sz w:val="28"/>
          <w:szCs w:val="28"/>
          <w:bdr w:val="none" w:color="auto" w:sz="0" w:space="0"/>
        </w:rPr>
      </w:pPr>
      <w:r>
        <w:rPr>
          <w:rFonts w:hint="eastAsia" w:ascii="宋体" w:hAnsi="宋体" w:eastAsia="宋体" w:cs="宋体"/>
          <w:i w:val="0"/>
          <w:iCs w:val="0"/>
          <w:caps w:val="0"/>
          <w:color w:val="000000"/>
          <w:spacing w:val="0"/>
          <w:sz w:val="28"/>
          <w:szCs w:val="28"/>
          <w:bdr w:val="none" w:color="auto" w:sz="0" w:space="0"/>
          <w:lang w:eastAsia="zh-CN"/>
        </w:rPr>
        <w:t>中华人民共和国</w:t>
      </w:r>
      <w:r>
        <w:rPr>
          <w:rFonts w:hint="eastAsia" w:ascii="宋体" w:hAnsi="宋体" w:eastAsia="宋体" w:cs="宋体"/>
          <w:i w:val="0"/>
          <w:iCs w:val="0"/>
          <w:caps w:val="0"/>
          <w:color w:val="000000"/>
          <w:spacing w:val="0"/>
          <w:sz w:val="28"/>
          <w:szCs w:val="28"/>
          <w:bdr w:val="none" w:color="auto" w:sz="0" w:space="0"/>
        </w:rPr>
        <w:t>国土资源部　</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4749" w:leftChars="2128" w:right="0" w:rightChars="0" w:hanging="280" w:hangingChars="100"/>
        <w:jc w:val="both"/>
        <w:textAlignment w:val="auto"/>
        <w:rPr>
          <w:rFonts w:hint="eastAsia" w:ascii="宋体" w:hAnsi="宋体" w:eastAsia="宋体" w:cs="宋体"/>
          <w:i w:val="0"/>
          <w:iCs w:val="0"/>
          <w:caps w:val="0"/>
          <w:color w:val="000000"/>
          <w:spacing w:val="0"/>
          <w:sz w:val="28"/>
          <w:szCs w:val="28"/>
          <w:bdr w:val="none" w:color="auto" w:sz="0" w:space="0"/>
          <w:lang w:eastAsia="zh-CN"/>
        </w:rPr>
      </w:pPr>
      <w:r>
        <w:rPr>
          <w:rFonts w:hint="eastAsia" w:ascii="宋体" w:hAnsi="宋体" w:eastAsia="宋体" w:cs="宋体"/>
          <w:i w:val="0"/>
          <w:iCs w:val="0"/>
          <w:caps w:val="0"/>
          <w:color w:val="000000"/>
          <w:spacing w:val="0"/>
          <w:sz w:val="28"/>
          <w:szCs w:val="28"/>
          <w:bdr w:val="none" w:color="auto" w:sz="0" w:space="0"/>
          <w:lang w:eastAsia="zh-CN"/>
        </w:rPr>
        <w:t>国家环境保护总局</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4749" w:leftChars="2128" w:right="0" w:rightChars="0" w:hanging="280" w:hangingChars="100"/>
        <w:jc w:val="both"/>
        <w:textAlignment w:val="auto"/>
        <w:rPr>
          <w:rFonts w:hint="eastAsia" w:ascii="宋体" w:hAnsi="宋体" w:eastAsia="宋体" w:cs="宋体"/>
          <w:sz w:val="28"/>
          <w:szCs w:val="28"/>
        </w:rPr>
      </w:pPr>
      <w:r>
        <w:rPr>
          <w:rFonts w:hint="eastAsia" w:ascii="宋体" w:hAnsi="宋体" w:eastAsia="宋体" w:cs="宋体"/>
          <w:i w:val="0"/>
          <w:iCs w:val="0"/>
          <w:caps w:val="0"/>
          <w:color w:val="000000"/>
          <w:spacing w:val="0"/>
          <w:sz w:val="28"/>
          <w:szCs w:val="28"/>
          <w:bdr w:val="none" w:color="auto" w:sz="0" w:space="0"/>
          <w:lang w:val="en-US" w:eastAsia="zh-CN"/>
        </w:rPr>
        <w:t>2006</w:t>
      </w:r>
      <w:r>
        <w:rPr>
          <w:rFonts w:hint="eastAsia" w:ascii="宋体" w:hAnsi="宋体" w:eastAsia="宋体" w:cs="宋体"/>
          <w:i w:val="0"/>
          <w:iCs w:val="0"/>
          <w:caps w:val="0"/>
          <w:color w:val="000000"/>
          <w:spacing w:val="0"/>
          <w:sz w:val="28"/>
          <w:szCs w:val="28"/>
          <w:bdr w:val="none" w:color="auto" w:sz="0" w:space="0"/>
        </w:rPr>
        <w:t>年</w:t>
      </w:r>
      <w:r>
        <w:rPr>
          <w:rFonts w:hint="eastAsia" w:ascii="宋体" w:hAnsi="宋体" w:eastAsia="宋体" w:cs="宋体"/>
          <w:i w:val="0"/>
          <w:iCs w:val="0"/>
          <w:caps w:val="0"/>
          <w:color w:val="000000"/>
          <w:spacing w:val="0"/>
          <w:sz w:val="28"/>
          <w:szCs w:val="28"/>
          <w:bdr w:val="none" w:color="auto" w:sz="0" w:space="0"/>
          <w:lang w:val="en-US" w:eastAsia="zh-CN"/>
        </w:rPr>
        <w:t>2</w:t>
      </w:r>
      <w:r>
        <w:rPr>
          <w:rFonts w:hint="eastAsia" w:ascii="宋体" w:hAnsi="宋体" w:eastAsia="宋体" w:cs="宋体"/>
          <w:i w:val="0"/>
          <w:iCs w:val="0"/>
          <w:caps w:val="0"/>
          <w:color w:val="000000"/>
          <w:spacing w:val="0"/>
          <w:sz w:val="28"/>
          <w:szCs w:val="28"/>
          <w:bdr w:val="none" w:color="auto" w:sz="0" w:space="0"/>
        </w:rPr>
        <w:t>月</w:t>
      </w:r>
      <w:r>
        <w:rPr>
          <w:rFonts w:hint="eastAsia" w:ascii="宋体" w:hAnsi="宋体" w:eastAsia="宋体" w:cs="宋体"/>
          <w:i w:val="0"/>
          <w:iCs w:val="0"/>
          <w:caps w:val="0"/>
          <w:color w:val="000000"/>
          <w:spacing w:val="0"/>
          <w:sz w:val="28"/>
          <w:szCs w:val="28"/>
          <w:bdr w:val="none" w:color="auto" w:sz="0" w:space="0"/>
          <w:lang w:val="en-US" w:eastAsia="zh-CN"/>
        </w:rPr>
        <w:t>10</w:t>
      </w:r>
      <w:r>
        <w:rPr>
          <w:rFonts w:hint="eastAsia" w:ascii="宋体" w:hAnsi="宋体" w:eastAsia="宋体" w:cs="宋体"/>
          <w:i w:val="0"/>
          <w:iCs w:val="0"/>
          <w:caps w:val="0"/>
          <w:color w:val="000000"/>
          <w:spacing w:val="0"/>
          <w:sz w:val="28"/>
          <w:szCs w:val="28"/>
          <w:bdr w:val="none" w:color="auto" w:sz="0" w:space="0"/>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CAFD7"/>
    <w:multiLevelType w:val="singleLevel"/>
    <w:tmpl w:val="C18CAFD7"/>
    <w:lvl w:ilvl="0" w:tentative="0">
      <w:start w:val="4"/>
      <w:numFmt w:val="chineseCounting"/>
      <w:suff w:val="nothing"/>
      <w:lvlText w:val="%1、"/>
      <w:lvlJc w:val="left"/>
      <w:pPr>
        <w:ind w:left="484"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46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2021-04-23T08:09:02Z</dcterms:created>
  <dc:creator>Administrator</dc:creator>
  <cp:lastModifiedBy>雨露</cp:lastModifiedBy>
  <dcterms:modified xsi:type="dcterms:W3CDTF">2021-04-23T08:14:13Z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4C825DFFEAD04A86AB23409751BA8E67</vt:lpwstr>
  </property>
</Properties>
</file>