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ind w:left="0" w:right="0" w:firstLine="0"/>
        <w:jc w:val="center"/>
        <w:rPr>
          <w:rFonts w:hint="eastAsia" w:ascii="宋体" w:hAnsi="宋体" w:eastAsia="宋体" w:cs="宋体"/>
          <w:b/>
          <w:bCs/>
          <w:i w:val="0"/>
          <w:iCs w:val="0"/>
          <w:caps w:val="0"/>
          <w:color w:val="000000" w:themeColor="text1"/>
          <w:spacing w:val="0"/>
          <w:sz w:val="36"/>
          <w:szCs w:val="36"/>
          <w14:textFill>
            <w14:solidFill>
              <w14:schemeClr w14:val="tx1"/>
            </w14:solidFill>
          </w14:textFill>
        </w:rPr>
      </w:pPr>
      <w:r>
        <w:rPr>
          <w:rFonts w:ascii="Arial" w:hAnsi="Arial" w:eastAsia="微软雅黑" w:cs="Arial"/>
          <w:i w:val="0"/>
          <w:iCs w:val="0"/>
          <w:caps w:val="0"/>
          <w:color w:val="333333"/>
          <w:spacing w:val="0"/>
          <w:sz w:val="21"/>
          <w:szCs w:val="21"/>
          <w:shd w:val="clear" w:fill="FFFFFF"/>
        </w:rPr>
        <w:t>　</w:t>
      </w:r>
      <w:r>
        <w:rPr>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36"/>
          <w:szCs w:val="36"/>
          <w:shd w:val="clear" w:fill="FFFFFF"/>
          <w14:textFill>
            <w14:solidFill>
              <w14:schemeClr w14:val="tx1"/>
            </w14:solidFill>
          </w14:textFill>
        </w:rPr>
        <w:t>矿山地质环境保护规定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bookmarkStart w:id="0" w:name="_GoBack"/>
      <w:r>
        <w:rPr>
          <w:rFonts w:hint="eastAsia" w:ascii="仿宋" w:hAnsi="仿宋" w:eastAsia="仿宋" w:cs="仿宋"/>
          <w:i w:val="0"/>
          <w:iCs w:val="0"/>
          <w:caps w:val="0"/>
          <w:color w:val="000000" w:themeColor="text1"/>
          <w:spacing w:val="0"/>
          <w:sz w:val="28"/>
          <w:szCs w:val="28"/>
          <w:shd w:val="clear" w:fill="FFFFFF"/>
          <w14:textFill>
            <w14:solidFill>
              <w14:schemeClr w14:val="tx1"/>
            </w14:solidFill>
          </w14:textFill>
        </w:rPr>
        <w:t>　(2009年3月2日国土资源部令第44号公布</w:t>
      </w:r>
      <w:r>
        <w:rPr>
          <w:rFonts w:hint="eastAsia" w:ascii="仿宋" w:hAnsi="仿宋" w:eastAsia="仿宋" w:cs="仿宋"/>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仿宋" w:hAnsi="仿宋" w:eastAsia="仿宋" w:cs="仿宋"/>
          <w:i w:val="0"/>
          <w:iCs w:val="0"/>
          <w:caps w:val="0"/>
          <w:color w:val="000000" w:themeColor="text1"/>
          <w:spacing w:val="0"/>
          <w:sz w:val="28"/>
          <w:szCs w:val="28"/>
          <w:shd w:val="clear" w:fill="FFFFFF"/>
          <w14:textFill>
            <w14:solidFill>
              <w14:schemeClr w14:val="tx1"/>
            </w14:solidFill>
          </w14:textFill>
        </w:rPr>
        <w:t>根据2015年5月6日《国土资源部关于修改〈地质灾害危险性评估单位资质管理办法〉等5部规章的决定》第一次修正</w:t>
      </w:r>
      <w:r>
        <w:rPr>
          <w:rFonts w:hint="eastAsia" w:ascii="仿宋" w:hAnsi="仿宋" w:eastAsia="仿宋" w:cs="仿宋"/>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仿宋" w:hAnsi="仿宋" w:eastAsia="仿宋" w:cs="仿宋"/>
          <w:i w:val="0"/>
          <w:iCs w:val="0"/>
          <w:caps w:val="0"/>
          <w:color w:val="000000" w:themeColor="text1"/>
          <w:spacing w:val="0"/>
          <w:sz w:val="28"/>
          <w:szCs w:val="28"/>
          <w:shd w:val="clear" w:fill="FFFFFF"/>
          <w14:textFill>
            <w14:solidFill>
              <w14:schemeClr w14:val="tx1"/>
            </w14:solidFill>
          </w14:textFill>
        </w:rPr>
        <w:t>根据2016年1月5日《国土资源部关于修改和废止部分规章的决定》第二次修正</w:t>
      </w:r>
      <w:r>
        <w:rPr>
          <w:rFonts w:hint="eastAsia" w:ascii="仿宋" w:hAnsi="仿宋" w:eastAsia="仿宋" w:cs="仿宋"/>
          <w:i w:val="0"/>
          <w:iCs w:val="0"/>
          <w:caps w:val="0"/>
          <w:color w:val="000000" w:themeColor="text1"/>
          <w:spacing w:val="0"/>
          <w:sz w:val="28"/>
          <w:szCs w:val="28"/>
          <w:shd w:val="clear" w:fill="FFFFFF"/>
          <w:lang w:val="en-US" w:eastAsia="zh-CN"/>
          <w14:textFill>
            <w14:solidFill>
              <w14:schemeClr w14:val="tx1"/>
            </w14:solidFill>
          </w14:textFill>
        </w:rPr>
        <w:t xml:space="preserve">  </w:t>
      </w:r>
      <w:r>
        <w:rPr>
          <w:rFonts w:hint="eastAsia" w:ascii="仿宋" w:hAnsi="仿宋" w:eastAsia="仿宋" w:cs="仿宋"/>
          <w:i w:val="0"/>
          <w:iCs w:val="0"/>
          <w:caps w:val="0"/>
          <w:color w:val="000000" w:themeColor="text1"/>
          <w:spacing w:val="0"/>
          <w:sz w:val="28"/>
          <w:szCs w:val="28"/>
          <w:shd w:val="clear" w:fill="FFFFFF"/>
          <w14:textFill>
            <w14:solidFill>
              <w14:schemeClr w14:val="tx1"/>
            </w14:solidFill>
          </w14:textFill>
        </w:rPr>
        <w:t>根据2019年7月16日《自然资源部关于第一批废止修改的部门规章的决定》第三次修正)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第一章 总则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第一条 为保护矿山地质环境，减少矿产资源勘查开采活动造成的矿山地质环境破坏，保护人民生命和财产安全，促进矿产资源的合理开发利用和经济社会、资源环境的协调发展，根据《中华人民共和国矿产资源法》《地质灾害防治条例》《土地复垦条例》，制定本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第二条 因矿产资源勘查开采等活动造成矿区地面塌陷、地裂缝、崩塌、滑坡，含水层破坏，地形地貌景观破坏等的预防和治理恢复，适用本规定。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开采矿产资源涉及土地复垦的，依照国家有关土地复垦的法律法规执行。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第三条 矿山地质环境保护，坚持预防为主、防治结合，谁开发谁保护、谁破坏谁治理、谁投资谁受益的原则。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第四条 自然资源部负责全国矿山地质环境的保护工作。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县级以上地方自然资源主管部门负责本行政区的矿山地质环境保护工作。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第五条 国家鼓励开展矿山地质环境保护科学技术研究，普及相关科学技术知识，推广先进技术和方法，制定有关技术标准，提高矿山地质环境保护的科学技术水平。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第六条 国家鼓励企业、社会团体或者个人投资，对已关闭或者废弃矿山的地质环境进行治理恢复。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第七条 任何单位和个人对破坏矿山地质环境的违法行为都有权进行检举和控告。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第二章 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第八条 自然资源部负责全国矿山地质环境的调查评价工作。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省、自治区、直辖市自然资源主管部门负责本行政区域内的矿山地质环境调查评价工作。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市、县自然资源主管部门根据本地区的实际情况，开展本行政区域的矿山地质环境调查评价工作。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第九条 自然资源部依据全国矿山地质环境调查评价结果，编制全国矿山地质环境保护规划。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省、自治区、直辖市自然资源主管部门依据全国矿山地质环境保护规划，结合本行政区域的矿山地质环境调查评价结果，编制省、自治区、直辖市的矿山地质环境保护规划，报省、自治区、直辖市人民政府批准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市、县级矿山地质环境保护规划的编制和审批，由省、自治区、直辖市自然资源主管部门规定。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第十条 矿山地质环境保护规划应当包括下列内容：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(一)矿山地质环境现状和发展趋势;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(二)矿山地质环境保护的指导思想、原则和目标;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(三)矿山地质环境保护的主要任务;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(四)矿山地质环境保护的重点工程;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(五)规划实施保障措施。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第十一条 矿山地质环境保护规划应当符合矿产资源规划，并与土地利用总体规划、地质灾害防治规划等相协调。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第三章 治理恢复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第十二条 采矿权申请人申请办理采矿许可证时，应当编制矿山地质环境保护与土地复垦方案，报有批准权的自然资源主管部门批准。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矿山地质环境保护与土地复垦方案应当包括下列内容：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(一)矿山基本情况;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(二)矿区基础信息;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(三)矿山地质环境影响和土地损毁评估;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(四)矿山地质环境治理与土地复垦可行性分析;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(五)矿山地质环境治理与土地复垦工程;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(六)矿山地质环境治理与土地复垦工作部署;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(七)经费估算与进度安排;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(八)保障措施与效益分析。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第十三条 采矿权申请人未编制矿山地质环境保护与土地复垦方案，或者编制的矿山地质环境保护与土地复垦方案不符合要求的，有批准权的自然资源主管部门应当告知申请人补正;逾期不补正的，不予受理其采矿权申请。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第十四条 采矿权人扩大开采规模、变更矿区范围或者开采方式的，应当重新编制矿山地质环境保护与土地复垦方案，并报原批准机关批准。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第十五条 采矿权人应当严格执行经批准的矿山地质环境保护与土地复垦方案。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矿山地质环境保护与治理恢复工程的设计和施工，应当与矿产资源开采活动同步进行。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第十六条 开采矿产资源造成矿山地质环境破坏的，由采矿权人负责治理恢复，治理恢复费用列入生产成本。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矿山地质环境治理恢复责任人灭失的，由矿山所在地的市、县自然资源主管部门，使用经市、县人民政府批准设立的政府专项资金进行治理恢复。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自然资源部，省、自治区、直辖市自然资源主管部门依据矿山地质环境保护规划，按照矿山地质环境治理工程项目管理制度的要求，对市、县自然资源主管部门给予资金补助。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第十七条 采矿权人应当依照国家有关规定，计提矿山地质环境治理恢复基金。基金由企业自主使用，根据其矿山地质环境保护与土地复垦方案确定的经费预算、工程实施计划、进度安排等，统筹用于开展矿山地质环境治理恢复和土地复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第十八条 采矿权人应当按照矿山地质环境保护与土地复垦方案的要求履行矿山地质环境保护与土地复垦义务。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采矿权人未履行矿山地质环境保护与土地复垦义务，或者未达到矿山地质环境保护与土地复垦方案要求，有关自然资源主管部门应当责令采矿权人限期履行矿山地质环境保护与土地复垦义务。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第十九条 矿山关闭前，采矿权人应当完成矿山地质环境保护与土地复垦义务。采矿权人在申请办理闭坑手续时，应当经自然资源主管部门验收合格，并提交验收合格文件。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第二十条 采矿权转让的，矿山地质环境保护与土地复垦的义务同时转让。采矿权受让人应当依照本规定，履行矿山地质环境保护与土地复垦的义务。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第二十一条 以槽探、坑探方式勘查矿产资源，探矿权人在矿产资源勘查活动结束后未申请采矿权的，应当采取相应的治理恢复措施，对其勘查矿产资源遗留的钻孔、探井、探槽、巷道进行回填、封闭，对形成的危岩、危坡等进行治理恢复，消除安全隐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第四章 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第二十二条 县级以上自然资源主管部门对采矿权人履行矿山地质环境保护与土地复垦义务的情况进行监督检查。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相关责任人应当配合县级以上自然资源主管部门的监督检查，并提供必要的资料，如实反映情况。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第二十三条 县级以上自然资源主管部门应当建立本行政区域内的矿山地质环境监测工作体系，健全监测网络，对矿山地质环境进行动态监测，指导、监督采矿权人开展矿山地质环境监测。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采矿权人应当定期向矿山所在地的县级自然资源主管部门报告矿山地质环境情况，如实提交监测资料。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县级自然资源主管部门应当定期将汇总的矿山地质环境监测资料报上一级自然资源主管部门。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第二十四条 县级以上自然资源主管部门在履行矿山地质环境保护的监督检查职责时，有权对矿山地质环境与土地复垦方案确立的治理恢复措施落实情况和矿山地质环境监测情况进行现场检查，对违反本规定的行为有权制止并依法查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第二十五条 开采矿产资源等活动造成矿山地质环境突发事件的，有关责任人应当采取应急措施，并立即向当地人民政府报告。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第五章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第二十六条 违反本规定，应当编制矿山地质环境保护与土地复垦方案而未编制的，或者扩大开采规模、变更矿区范围或者开采方式，未重新编制矿山地质环境保护与土地复垦方案并经原审批机关批准的，责令限期改正，并列入矿业权人异常名录或严重违法名单;逾期不改正的，处3万元以下的罚款，不受理其申请新的采矿许可证或者申请采矿许可证延续、变更、注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第二十七条 违反本规定，未按照批准的矿山地质环境保护与土地复垦方案治理的，或者在矿山被批准关闭、闭坑前未完成治理恢复的，责令限期改正，并列入矿业权人异常名录或严重违法名单;逾期拒不改正的或整改不到位的，处3万元以下的罚款，不受理其申请新的采矿权许可证或者申请采矿权许可证延续、变更、注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第二十八条 违反本规定，未按规定计提矿山地质环境治理恢复基金的，由县级以上自然资源主管部门责令限期计提;逾期不计提的，处3万元以下的罚款。颁发采矿许可证的自然资源主管部门不得通过其采矿活动年度报告，不受理其采矿权延续变更申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第二十九条 违反本规定第二十一条规定，探矿权人未采取治理恢复措施的，由县级以上自然资源主管部门责令限期改正;逾期拒不改正的，处3万元以下的罚款，5年内不受理其新的探矿权、采矿权申请。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第三十条 违反本规定，扰乱、阻碍矿山地质环境保护与治理恢复工作，侵占、损坏、损毁矿山地质环境监测设施或者矿山地质环境保护与治理恢复设施的，由县级以上自然资源主管部门责令停止违法行为，限期恢复原状或者采取补救措施，并处3万元以下的罚款;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第三十一条 县级以上自然资源主管部门工作人员违反本规定，在矿山地质环境保护与治理恢复监督管理中玩忽职守、滥用职权、徇私舞弊的，对相关责任人依法给予处分;构成犯罪的，依法追究刑事责任。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w:t>
      </w:r>
      <w:r>
        <w:rPr>
          <w:rStyle w:val="5"/>
          <w:rFonts w:hint="eastAsia" w:ascii="宋体" w:hAnsi="宋体" w:eastAsia="宋体" w:cs="宋体"/>
          <w:b/>
          <w:bCs/>
          <w:i w:val="0"/>
          <w:iCs w:val="0"/>
          <w:caps w:val="0"/>
          <w:color w:val="000000" w:themeColor="text1"/>
          <w:spacing w:val="0"/>
          <w:sz w:val="28"/>
          <w:szCs w:val="28"/>
          <w:shd w:val="clear" w:fill="FFFFFF"/>
          <w14:textFill>
            <w14:solidFill>
              <w14:schemeClr w14:val="tx1"/>
            </w14:solidFill>
          </w14:textFill>
        </w:rPr>
        <w:t>第六章 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第三十二条 本规定实施前已建和在建矿山，采矿权人应当依照本规定编制矿山地质环境保护与土地复垦方案，报原采矿许可证审批机关批准。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both"/>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　　第三十三条 本规定自2009年5月1日起施行。</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9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2021-04-23T08:19:20Z</dcterms:created>
  <dc:creator>Administrator</dc:creator>
  <cp:lastModifiedBy>雨露</cp:lastModifiedBy>
  <dcterms:modified xsi:type="dcterms:W3CDTF">2021-04-23T08:23:55Z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27A2B336451F4A11BA28D34F54EEBB72</vt:lpwstr>
  </property>
</Properties>
</file>