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4" w:lineRule="atLeast"/>
        <w:ind w:left="0" w:right="0" w:firstLine="0"/>
        <w:jc w:val="center"/>
        <w:textAlignment w:val="auto"/>
        <w:rPr>
          <w:rFonts w:hint="eastAsia" w:ascii="宋体" w:hAnsi="宋体" w:eastAsia="宋体" w:cs="宋体"/>
          <w:i w:val="0"/>
          <w:iCs w:val="0"/>
          <w:caps w:val="0"/>
          <w:color w:val="333333"/>
          <w:spacing w:val="5"/>
          <w:sz w:val="36"/>
          <w:szCs w:val="36"/>
          <w:shd w:val="clear" w:fill="FFFFFF"/>
        </w:rPr>
      </w:pPr>
      <w:r>
        <w:rPr>
          <w:rFonts w:hint="eastAsia" w:ascii="宋体" w:hAnsi="宋体" w:eastAsia="宋体" w:cs="宋体"/>
          <w:i w:val="0"/>
          <w:iCs w:val="0"/>
          <w:caps w:val="0"/>
          <w:color w:val="333333"/>
          <w:spacing w:val="5"/>
          <w:sz w:val="36"/>
          <w:szCs w:val="36"/>
          <w:shd w:val="clear" w:fill="FFFFFF"/>
        </w:rPr>
        <w:t>自然资源部 农业农村部关于加强和改进永久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4" w:lineRule="atLeast"/>
        <w:ind w:left="0" w:right="0" w:firstLine="0"/>
        <w:jc w:val="center"/>
        <w:textAlignment w:val="auto"/>
        <w:rPr>
          <w:rFonts w:hint="eastAsia" w:ascii="宋体" w:hAnsi="宋体" w:eastAsia="宋体" w:cs="宋体"/>
          <w:i w:val="0"/>
          <w:iCs w:val="0"/>
          <w:caps w:val="0"/>
          <w:color w:val="333333"/>
          <w:spacing w:val="5"/>
          <w:sz w:val="36"/>
          <w:szCs w:val="36"/>
          <w:lang w:val="en-US" w:eastAsia="zh-CN"/>
        </w:rPr>
      </w:pPr>
      <w:r>
        <w:rPr>
          <w:rFonts w:hint="eastAsia" w:ascii="宋体" w:hAnsi="宋体" w:eastAsia="宋体" w:cs="宋体"/>
          <w:i w:val="0"/>
          <w:iCs w:val="0"/>
          <w:caps w:val="0"/>
          <w:color w:val="333333"/>
          <w:spacing w:val="5"/>
          <w:sz w:val="36"/>
          <w:szCs w:val="36"/>
          <w:shd w:val="clear" w:fill="FFFFFF"/>
        </w:rPr>
        <w:t>基本农田保护工作的通知</w:t>
      </w:r>
      <w:r>
        <w:rPr>
          <w:rFonts w:hint="eastAsia" w:cs="宋体"/>
          <w:i w:val="0"/>
          <w:iCs w:val="0"/>
          <w:caps w:val="0"/>
          <w:color w:val="333333"/>
          <w:spacing w:val="5"/>
          <w:sz w:val="36"/>
          <w:szCs w:val="36"/>
          <w:shd w:val="clear" w:fill="FFFFFF"/>
          <w:lang w:eastAsia="zh-CN"/>
        </w:rPr>
        <w:t>（摘录</w:t>
      </w:r>
      <w:bookmarkStart w:id="0" w:name="_GoBack"/>
      <w:bookmarkEnd w:id="0"/>
      <w:r>
        <w:rPr>
          <w:rFonts w:hint="eastAsia" w:cs="宋体"/>
          <w:i w:val="0"/>
          <w:iCs w:val="0"/>
          <w:caps w:val="0"/>
          <w:color w:val="333333"/>
          <w:spacing w:val="5"/>
          <w:sz w:val="36"/>
          <w:szCs w:val="36"/>
          <w:shd w:val="clear" w:fill="FFFFFF"/>
          <w:lang w:eastAsia="zh-CN"/>
        </w:rPr>
        <w:t>）</w:t>
      </w:r>
    </w:p>
    <w:p>
      <w:pPr>
        <w:keepNext w:val="0"/>
        <w:keepLines w:val="0"/>
        <w:pageBreakBefore w:val="0"/>
        <w:kinsoku/>
        <w:wordWrap/>
        <w:overflowPunct/>
        <w:topLinePunct w:val="0"/>
        <w:autoSpaceDE/>
        <w:autoSpaceDN/>
        <w:bidi w:val="0"/>
        <w:adjustRightInd/>
        <w:snapToGrid/>
        <w:spacing w:line="480" w:lineRule="exact"/>
        <w:jc w:val="center"/>
        <w:textAlignment w:val="auto"/>
        <w:rPr>
          <w:rFonts w:hint="eastAsia" w:ascii="宋体" w:hAnsi="宋体" w:eastAsia="宋体" w:cs="宋体"/>
          <w:i w:val="0"/>
          <w:iCs w:val="0"/>
          <w:caps w:val="0"/>
          <w:color w:val="000000" w:themeColor="text1"/>
          <w:spacing w:val="5"/>
          <w:sz w:val="28"/>
          <w:szCs w:val="28"/>
          <w:shd w:val="clear" w:color="auto" w:fill="auto"/>
          <w14:textFill>
            <w14:solidFill>
              <w14:schemeClr w14:val="tx1"/>
            </w14:solidFill>
          </w14:textFill>
        </w:rPr>
      </w:pPr>
      <w:r>
        <w:rPr>
          <w:rFonts w:hint="eastAsia" w:ascii="宋体" w:hAnsi="宋体" w:eastAsia="宋体" w:cs="宋体"/>
          <w:i w:val="0"/>
          <w:iCs w:val="0"/>
          <w:caps w:val="0"/>
          <w:color w:val="000000" w:themeColor="text1"/>
          <w:spacing w:val="5"/>
          <w:sz w:val="28"/>
          <w:szCs w:val="28"/>
          <w:shd w:val="clear" w:color="auto" w:fill="auto"/>
          <w:lang w:eastAsia="zh-CN"/>
          <w14:textFill>
            <w14:solidFill>
              <w14:schemeClr w14:val="tx1"/>
            </w14:solidFill>
          </w14:textFill>
        </w:rPr>
        <w:t>（</w:t>
      </w:r>
      <w:r>
        <w:rPr>
          <w:rFonts w:hint="eastAsia" w:ascii="宋体" w:hAnsi="宋体" w:eastAsia="宋体" w:cs="宋体"/>
          <w:i w:val="0"/>
          <w:iCs w:val="0"/>
          <w:caps w:val="0"/>
          <w:color w:val="000000" w:themeColor="text1"/>
          <w:spacing w:val="5"/>
          <w:sz w:val="28"/>
          <w:szCs w:val="28"/>
          <w:shd w:val="clear" w:color="auto" w:fill="auto"/>
          <w14:textFill>
            <w14:solidFill>
              <w14:schemeClr w14:val="tx1"/>
            </w14:solidFill>
          </w14:textFill>
        </w:rPr>
        <w:t>自然资规〔2019〕1号</w:t>
      </w:r>
      <w:r>
        <w:rPr>
          <w:rFonts w:hint="eastAsia" w:ascii="宋体" w:hAnsi="宋体" w:eastAsia="宋体" w:cs="宋体"/>
          <w:i w:val="0"/>
          <w:iCs w:val="0"/>
          <w:caps w:val="0"/>
          <w:color w:val="000000" w:themeColor="text1"/>
          <w:spacing w:val="5"/>
          <w:sz w:val="28"/>
          <w:szCs w:val="28"/>
          <w:shd w:val="clear" w:color="auto" w:fill="auto"/>
          <w:lang w:eastAsia="zh-CN"/>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480" w:lineRule="exact"/>
        <w:textAlignment w:val="auto"/>
        <w:rPr>
          <w:rFonts w:hint="eastAsia" w:ascii="宋体" w:hAnsi="宋体" w:eastAsia="宋体" w:cs="宋体"/>
          <w:i w:val="0"/>
          <w:iCs w:val="0"/>
          <w:caps w:val="0"/>
          <w:color w:val="363636"/>
          <w:spacing w:val="5"/>
          <w:sz w:val="28"/>
          <w:szCs w:val="28"/>
          <w:shd w:val="clear" w:color="auto" w:fill="auto"/>
        </w:rPr>
      </w:pPr>
      <w:r>
        <w:rPr>
          <w:rFonts w:hint="eastAsia" w:ascii="宋体" w:hAnsi="宋体" w:eastAsia="宋体" w:cs="宋体"/>
          <w:i w:val="0"/>
          <w:iCs w:val="0"/>
          <w:caps w:val="0"/>
          <w:color w:val="363636"/>
          <w:spacing w:val="5"/>
          <w:sz w:val="28"/>
          <w:szCs w:val="28"/>
          <w:shd w:val="clear" w:color="auto" w:fill="auto"/>
        </w:rPr>
        <w:t>按照党中央、国务院关于全面划定永久基本农田并实行特殊保护的决策部署，自然资源部、农业农村部（以下简称“两部”）精心组织，各省（区、市）党委政府扎实推进，完成了永久基本农田划定工作，并纳入各级土地利用总体规划，实现了上图入库、落到实地，取得积极成效。当前，我国经济转向高质量发展阶段，新型工业化、城镇化建设深入推进，农业供给侧结构性改革逐步深入，对守住耕地红线和永久基本农田控制线提出了更高要求。为巩固划定成果，有效解决划定不实、非法占用等问题，完善保护措施，提高监管水平，现就有关事项通知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宋体" w:hAnsi="宋体" w:eastAsia="宋体" w:cs="宋体"/>
          <w:sz w:val="28"/>
          <w:szCs w:val="28"/>
        </w:rPr>
      </w:pPr>
      <w:r>
        <w:rPr>
          <w:rStyle w:val="6"/>
          <w:rFonts w:hint="eastAsia" w:ascii="宋体" w:hAnsi="宋体" w:eastAsia="宋体" w:cs="宋体"/>
          <w:sz w:val="28"/>
          <w:szCs w:val="28"/>
        </w:rPr>
        <w:t>三、严控建设占用永久基本农田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sz w:val="28"/>
          <w:szCs w:val="28"/>
        </w:rPr>
      </w:pPr>
      <w:r>
        <w:rPr>
          <w:rStyle w:val="6"/>
          <w:rFonts w:hint="eastAsia" w:ascii="宋体" w:hAnsi="宋体" w:eastAsia="宋体" w:cs="宋体"/>
          <w:sz w:val="28"/>
          <w:szCs w:val="28"/>
        </w:rPr>
        <w:t>（八）处理好涉及永久基本农田的矿业权设置。</w:t>
      </w:r>
      <w:r>
        <w:rPr>
          <w:rFonts w:hint="eastAsia" w:ascii="宋体" w:hAnsi="宋体" w:eastAsia="宋体" w:cs="宋体"/>
          <w:sz w:val="28"/>
          <w:szCs w:val="28"/>
        </w:rPr>
        <w:t>全国矿产资源规划确定的战略性矿产，区分油气和非油气矿产、探矿和采矿阶段、露天和井下开采等情况，在保护永久基本农田的同时，做好矿产资源勘查和开发利用。非战略性矿产，申请新设矿业权，应避让永久基本农田，其中地热、矿泉水勘查开采，不造成永久基本农田损毁、塌陷破坏的，可申请新设矿业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sz w:val="28"/>
          <w:szCs w:val="28"/>
        </w:rPr>
      </w:pPr>
      <w:r>
        <w:rPr>
          <w:rFonts w:hint="eastAsia" w:ascii="宋体" w:hAnsi="宋体" w:eastAsia="宋体" w:cs="宋体"/>
          <w:sz w:val="28"/>
          <w:szCs w:val="28"/>
        </w:rPr>
        <w:t>矿业权申请人依法申请战略性矿产探矿权，开展地质勘查需临时用地的，应依法办理临时用地审批手续。石油、天然气、页岩气、煤层气等油气战略性矿产的地质勘查，经批准可临时占用永久基本农田布设探井。在试采和取得采矿权后转为开采井的，可直接依法办理农用地转用和土地征收审批手续，按规定补划永久基本农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sz w:val="28"/>
          <w:szCs w:val="28"/>
        </w:rPr>
      </w:pPr>
      <w:r>
        <w:rPr>
          <w:rFonts w:hint="eastAsia" w:ascii="宋体" w:hAnsi="宋体" w:eastAsia="宋体" w:cs="宋体"/>
          <w:sz w:val="28"/>
          <w:szCs w:val="28"/>
        </w:rPr>
        <w:t>煤炭等非油气战略性矿产，矿业权人申请采矿权涉及永久基本农田的，根据露天、井下开采方式实行差别化管理。对于露天方式开采，开采项目应符合占用永久基本农田重大建设项目用地要求；对于井下方式开采，矿产资源开发利用与生态保护修复方案应落实保护性开发措施。井下开采方式所配套建设的地面工业广场等设施，要符合占用永久基本农田重大建设项目用地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sz w:val="28"/>
          <w:szCs w:val="28"/>
        </w:rPr>
      </w:pPr>
      <w:r>
        <w:rPr>
          <w:rFonts w:hint="eastAsia" w:ascii="宋体" w:hAnsi="宋体" w:eastAsia="宋体" w:cs="宋体"/>
          <w:sz w:val="28"/>
          <w:szCs w:val="28"/>
        </w:rPr>
        <w:t>已设矿业权与永久基本农田空间重叠的，各级地方自然资源主管部门要加强永久基本农田保护、土地复垦等日常监管，允许在原矿业权范围内办理延续变更等登记手续。已取得探矿权申请划定矿区范围或探矿权转采矿权的按上述煤炭等非油气战略性矿产管理规定执行。矿业权人申请扩大勘查区块范围或扩大矿区范围、申请将勘查或开采矿种由战略性矿产变更为非战略性矿产，涉及与永久基本农田空间重叠的，按新设矿业权处理。矿业权人不依法履行土地复垦义务的，不得批准新设矿业权，不得批准新的建设用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4"/>
          <w:sz w:val="28"/>
          <w:szCs w:val="28"/>
          <w:shd w:val="clear" w:fill="FFFFFF"/>
        </w:rPr>
      </w:pPr>
      <w:r>
        <w:rPr>
          <w:rFonts w:hint="eastAsia" w:ascii="宋体" w:hAnsi="宋体" w:eastAsia="宋体" w:cs="宋体"/>
          <w:i w:val="0"/>
          <w:iCs w:val="0"/>
          <w:caps w:val="0"/>
          <w:color w:val="333333"/>
          <w:spacing w:val="4"/>
          <w:sz w:val="28"/>
          <w:szCs w:val="28"/>
          <w:shd w:val="clear" w:fill="FFFFFF"/>
        </w:rPr>
        <w:t>本通知自印发之日起施行，有效期5年。原国土资源部印发的《关于全面实行永久基本农田特殊保护的通知》中有关开展永久基本农田整备区建设、临时用地占用永久基本农田等政策按本通知要求执行。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744" w:firstLineChars="1300"/>
        <w:textAlignment w:val="auto"/>
        <w:rPr>
          <w:rFonts w:hint="eastAsia" w:ascii="宋体" w:hAnsi="宋体" w:eastAsia="宋体" w:cs="宋体"/>
          <w:i w:val="0"/>
          <w:iCs w:val="0"/>
          <w:caps w:val="0"/>
          <w:color w:val="333333"/>
          <w:spacing w:val="4"/>
          <w:sz w:val="28"/>
          <w:szCs w:val="28"/>
          <w:shd w:val="clear" w:fill="FFFFFF"/>
          <w:lang w:val="en-US" w:eastAsia="zh-CN"/>
        </w:rPr>
      </w:pPr>
      <w:r>
        <w:rPr>
          <w:rFonts w:hint="eastAsia" w:ascii="宋体" w:hAnsi="宋体" w:eastAsia="宋体" w:cs="宋体"/>
          <w:i w:val="0"/>
          <w:iCs w:val="0"/>
          <w:caps w:val="0"/>
          <w:color w:val="333333"/>
          <w:spacing w:val="4"/>
          <w:sz w:val="28"/>
          <w:szCs w:val="28"/>
          <w:shd w:val="clear" w:fill="FFFFFF"/>
          <w:lang w:val="en-US" w:eastAsia="zh-CN"/>
        </w:rPr>
        <w:t>中华人民共和国自然资源部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3744" w:firstLineChars="1300"/>
        <w:textAlignment w:val="auto"/>
        <w:rPr>
          <w:rFonts w:hint="eastAsia" w:ascii="宋体" w:hAnsi="宋体" w:eastAsia="宋体" w:cs="宋体"/>
          <w:i w:val="0"/>
          <w:iCs w:val="0"/>
          <w:caps w:val="0"/>
          <w:color w:val="333333"/>
          <w:spacing w:val="4"/>
          <w:sz w:val="28"/>
          <w:szCs w:val="28"/>
          <w:shd w:val="clear" w:fill="FFFFFF"/>
          <w:lang w:val="en-US" w:eastAsia="zh-CN"/>
        </w:rPr>
      </w:pPr>
      <w:r>
        <w:rPr>
          <w:rFonts w:hint="eastAsia" w:ascii="宋体" w:hAnsi="宋体" w:eastAsia="宋体" w:cs="宋体"/>
          <w:i w:val="0"/>
          <w:iCs w:val="0"/>
          <w:caps w:val="0"/>
          <w:color w:val="333333"/>
          <w:spacing w:val="4"/>
          <w:sz w:val="28"/>
          <w:szCs w:val="28"/>
          <w:shd w:val="clear" w:fill="FFFFFF"/>
          <w:lang w:val="en-US" w:eastAsia="zh-CN"/>
        </w:rPr>
        <w:t>中华人民共和国农业农村部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4032" w:firstLineChars="1400"/>
        <w:textAlignment w:val="auto"/>
        <w:rPr>
          <w:rFonts w:hint="default" w:ascii="宋体" w:hAnsi="宋体" w:eastAsia="宋体" w:cs="宋体"/>
          <w:i w:val="0"/>
          <w:iCs w:val="0"/>
          <w:caps w:val="0"/>
          <w:color w:val="333333"/>
          <w:spacing w:val="4"/>
          <w:sz w:val="28"/>
          <w:szCs w:val="28"/>
          <w:shd w:val="clear" w:fill="FFFFFF"/>
          <w:lang w:val="en-US" w:eastAsia="zh-CN"/>
        </w:rPr>
      </w:pPr>
      <w:r>
        <w:rPr>
          <w:rFonts w:hint="eastAsia" w:ascii="宋体" w:hAnsi="宋体" w:eastAsia="宋体" w:cs="宋体"/>
          <w:i w:val="0"/>
          <w:iCs w:val="0"/>
          <w:caps w:val="0"/>
          <w:color w:val="333333"/>
          <w:spacing w:val="4"/>
          <w:sz w:val="28"/>
          <w:szCs w:val="28"/>
          <w:shd w:val="clear" w:fill="FFFFFF"/>
          <w:lang w:val="en-US" w:eastAsia="zh-CN"/>
        </w:rPr>
        <w:t>2019年1月3日</w:t>
      </w:r>
    </w:p>
    <w:p>
      <w:pPr>
        <w:rPr>
          <w:rFonts w:hint="eastAsia" w:ascii="宋体" w:hAnsi="宋体" w:eastAsia="宋体" w:cs="宋体"/>
          <w:i w:val="0"/>
          <w:iCs w:val="0"/>
          <w:caps w:val="0"/>
          <w:color w:val="363636"/>
          <w:spacing w:val="5"/>
          <w:sz w:val="28"/>
          <w:szCs w:val="28"/>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8059AE"/>
    <w:rsid w:val="4F335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2021-04-23T11:31:00Z</dcterms:created>
  <dc:creator>lenovo</dc:creator>
  <cp:lastModifiedBy>雨露</cp:lastModifiedBy>
  <dcterms:modified xsi:type="dcterms:W3CDTF">2021-04-26T07:39:55Z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7E81D969D6B34B1A98D4CABEC0B31D16</vt:lpwstr>
  </property>
</Properties>
</file>