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hint="eastAsia" w:ascii="宋体" w:hAnsi="宋体" w:eastAsia="宋体" w:cs="宋体"/>
          <w:b/>
          <w:bCs/>
          <w:sz w:val="36"/>
          <w:szCs w:val="36"/>
        </w:rPr>
      </w:pPr>
      <w:r>
        <w:rPr>
          <w:rFonts w:hint="eastAsia" w:ascii="宋体" w:hAnsi="宋体" w:eastAsia="宋体" w:cs="宋体"/>
          <w:b/>
          <w:bCs/>
          <w:color w:val="333333"/>
          <w:sz w:val="36"/>
          <w:szCs w:val="36"/>
          <w:shd w:val="clear" w:fill="FFFFFF"/>
        </w:rPr>
        <w:t>产业结构调整指导目录（2019年本）</w:t>
      </w:r>
    </w:p>
    <w:p>
      <w:pPr>
        <w:pStyle w:val="3"/>
        <w:keepNext w:val="0"/>
        <w:keepLines w:val="0"/>
        <w:widowControl/>
        <w:suppressLineNumbers w:val="0"/>
        <w:spacing w:before="0" w:beforeAutospacing="0" w:after="0" w:afterAutospacing="0" w:line="240" w:lineRule="auto"/>
        <w:ind w:left="0" w:leftChars="0" w:right="0" w:firstLine="560" w:firstLineChars="200"/>
        <w:rPr>
          <w:rFonts w:hint="eastAsia" w:ascii="宋体" w:hAnsi="宋体" w:eastAsia="宋体" w:cs="宋体"/>
          <w:color w:val="333333"/>
          <w:sz w:val="28"/>
          <w:szCs w:val="28"/>
          <w:shd w:val="clear" w:fill="FFFFFF"/>
          <w:lang w:val="en-US" w:eastAsia="zh-CN"/>
        </w:rPr>
      </w:pPr>
      <w:r>
        <w:rPr>
          <w:rFonts w:hint="eastAsia" w:ascii="宋体" w:hAnsi="宋体" w:eastAsia="宋体" w:cs="宋体"/>
          <w:color w:val="333333"/>
          <w:sz w:val="28"/>
          <w:szCs w:val="28"/>
          <w:shd w:val="clear" w:fill="FFFFFF"/>
          <w:lang w:eastAsia="zh-CN"/>
        </w:rPr>
        <w:t>（</w:t>
      </w:r>
      <w:r>
        <w:rPr>
          <w:rFonts w:hint="eastAsia" w:ascii="宋体" w:hAnsi="宋体" w:eastAsia="宋体" w:cs="宋体"/>
          <w:color w:val="333333"/>
          <w:sz w:val="28"/>
          <w:szCs w:val="28"/>
          <w:shd w:val="clear" w:fill="FFFFFF"/>
        </w:rPr>
        <w:t>2019年</w:t>
      </w:r>
      <w:r>
        <w:rPr>
          <w:rFonts w:hint="eastAsia" w:ascii="宋体" w:hAnsi="宋体" w:eastAsia="宋体" w:cs="宋体"/>
          <w:color w:val="333333"/>
          <w:sz w:val="28"/>
          <w:szCs w:val="28"/>
          <w:shd w:val="clear" w:fill="FFFFFF"/>
          <w:lang w:val="en-US" w:eastAsia="zh-CN"/>
        </w:rPr>
        <w:t>10</w:t>
      </w:r>
      <w:r>
        <w:rPr>
          <w:rFonts w:hint="eastAsia" w:ascii="宋体" w:hAnsi="宋体" w:eastAsia="宋体" w:cs="宋体"/>
          <w:color w:val="333333"/>
          <w:sz w:val="28"/>
          <w:szCs w:val="28"/>
          <w:shd w:val="clear" w:fill="FFFFFF"/>
        </w:rPr>
        <w:t>月</w:t>
      </w:r>
      <w:r>
        <w:rPr>
          <w:rFonts w:hint="eastAsia" w:ascii="宋体" w:hAnsi="宋体" w:eastAsia="宋体" w:cs="宋体"/>
          <w:color w:val="333333"/>
          <w:sz w:val="28"/>
          <w:szCs w:val="28"/>
          <w:shd w:val="clear" w:fill="FFFFFF"/>
          <w:lang w:val="en-US" w:eastAsia="zh-CN"/>
        </w:rPr>
        <w:t>30</w:t>
      </w:r>
      <w:r>
        <w:rPr>
          <w:rFonts w:hint="eastAsia" w:ascii="宋体" w:hAnsi="宋体" w:eastAsia="宋体" w:cs="宋体"/>
          <w:color w:val="333333"/>
          <w:sz w:val="28"/>
          <w:szCs w:val="28"/>
          <w:shd w:val="clear" w:fill="FFFFFF"/>
        </w:rPr>
        <w:t>日</w:t>
      </w:r>
      <w:r>
        <w:rPr>
          <w:rFonts w:hint="eastAsia" w:ascii="宋体" w:hAnsi="宋体" w:eastAsia="宋体" w:cs="宋体"/>
          <w:color w:val="333333"/>
          <w:sz w:val="28"/>
          <w:szCs w:val="28"/>
          <w:shd w:val="clear" w:fill="FFFFFF"/>
          <w:lang w:eastAsia="zh-CN"/>
        </w:rPr>
        <w:t>中华人民共和国国家发展和改革委员会令第</w:t>
      </w:r>
      <w:r>
        <w:rPr>
          <w:rFonts w:hint="eastAsia" w:ascii="宋体" w:hAnsi="宋体" w:eastAsia="宋体" w:cs="宋体"/>
          <w:color w:val="333333"/>
          <w:sz w:val="28"/>
          <w:szCs w:val="28"/>
          <w:shd w:val="clear" w:fill="FFFFFF"/>
          <w:lang w:val="en-US" w:eastAsia="zh-CN"/>
        </w:rPr>
        <w:t>29号发布  自2020年1月1日起施行）</w:t>
      </w:r>
    </w:p>
    <w:p>
      <w:pPr>
        <w:keepNext w:val="0"/>
        <w:keepLines w:val="0"/>
        <w:widowControl/>
        <w:suppressLineNumbers w:val="0"/>
        <w:jc w:val="center"/>
      </w:pPr>
      <w:r>
        <w:rPr>
          <w:rFonts w:ascii="方正小标宋_GBK" w:hAnsi="方正小标宋_GBK" w:eastAsia="方正小标宋_GBK" w:cs="方正小标宋_GBK"/>
          <w:color w:val="000000"/>
          <w:kern w:val="0"/>
          <w:sz w:val="40"/>
          <w:szCs w:val="40"/>
          <w:lang w:val="en-US" w:eastAsia="zh-CN" w:bidi="ar"/>
        </w:rPr>
        <w:t>产业结构调整指导目录</w:t>
      </w:r>
    </w:p>
    <w:p>
      <w:pPr>
        <w:keepNext w:val="0"/>
        <w:keepLines w:val="0"/>
        <w:widowControl/>
        <w:suppressLineNumbers w:val="0"/>
        <w:jc w:val="center"/>
      </w:pPr>
      <w:r>
        <w:rPr>
          <w:rFonts w:ascii="方正楷体_GBK" w:hAnsi="方正楷体_GBK" w:eastAsia="方正楷体_GBK" w:cs="方正楷体_GBK"/>
          <w:color w:val="000000"/>
          <w:kern w:val="0"/>
          <w:sz w:val="28"/>
          <w:szCs w:val="28"/>
          <w:lang w:val="en-US" w:eastAsia="zh-CN" w:bidi="ar"/>
        </w:rPr>
        <w:t>（</w:t>
      </w:r>
      <w:r>
        <w:rPr>
          <w:rFonts w:hint="default" w:ascii="Times New Roman" w:hAnsi="Times New Roman" w:eastAsia="宋体" w:cs="Times New Roman"/>
          <w:color w:val="000000"/>
          <w:kern w:val="0"/>
          <w:sz w:val="28"/>
          <w:szCs w:val="28"/>
          <w:lang w:val="en-US" w:eastAsia="zh-CN" w:bidi="ar"/>
        </w:rPr>
        <w:t xml:space="preserve">2019 </w:t>
      </w:r>
      <w:r>
        <w:rPr>
          <w:rFonts w:hint="default" w:ascii="方正楷体_GBK" w:hAnsi="方正楷体_GBK" w:eastAsia="方正楷体_GBK" w:cs="方正楷体_GBK"/>
          <w:color w:val="000000"/>
          <w:kern w:val="0"/>
          <w:sz w:val="28"/>
          <w:szCs w:val="28"/>
          <w:lang w:val="en-US" w:eastAsia="zh-CN" w:bidi="ar"/>
        </w:rPr>
        <w:t>年本）</w:t>
      </w:r>
      <w:bookmarkStart w:id="0" w:name="_GoBack"/>
      <w:bookmarkEnd w:id="0"/>
    </w:p>
    <w:p>
      <w:pPr>
        <w:keepNext w:val="0"/>
        <w:keepLines w:val="0"/>
        <w:widowControl/>
        <w:suppressLineNumbers w:val="0"/>
        <w:jc w:val="center"/>
        <w:rPr>
          <w:rFonts w:ascii="方正黑体_GBK" w:hAnsi="方正黑体_GBK" w:eastAsia="方正黑体_GBK" w:cs="方正黑体_GBK"/>
          <w:color w:val="000000"/>
          <w:kern w:val="0"/>
          <w:sz w:val="30"/>
          <w:szCs w:val="30"/>
          <w:lang w:val="en-US" w:eastAsia="zh-CN" w:bidi="ar"/>
        </w:rPr>
      </w:pPr>
      <w:r>
        <w:rPr>
          <w:rFonts w:ascii="方正黑体_GBK" w:hAnsi="方正黑体_GBK" w:eastAsia="方正黑体_GBK" w:cs="方正黑体_GBK"/>
          <w:color w:val="000000"/>
          <w:kern w:val="0"/>
          <w:sz w:val="30"/>
          <w:szCs w:val="30"/>
          <w:lang w:val="en-US" w:eastAsia="zh-CN" w:bidi="ar"/>
        </w:rPr>
        <w:t>第一类 鼓励类</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三、煤炭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1、煤田地质及地球物理勘探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4、煤炭共伴生资源加工与综合利用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11、提高资源回收率的采煤方法、工艺开发与应用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12、矿井采空区、建筑物下、铁路等基础设施下、水体下采用煤矸石等物质填充采煤技术开发与应用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六、核能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1、铀矿地质勘查和铀矿采冶、铀精制、铀转化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七、石油、天然气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1、常规石油、天然气勘探与开采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2、页岩气、页岩油、致密油、油砂、天然气水合物等非常规资源勘探开发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4、油气伴生资源综合利用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right="0"/>
        <w:jc w:val="both"/>
        <w:textAlignment w:val="auto"/>
        <w:rPr>
          <w:rFonts w:hint="eastAsia" w:ascii="宋体" w:hAnsi="宋体" w:eastAsia="宋体" w:cs="宋体"/>
          <w:color w:val="333333"/>
          <w:sz w:val="28"/>
          <w:szCs w:val="28"/>
          <w:shd w:val="clear" w:fill="FFFFFF"/>
          <w:lang w:val="en-US" w:eastAsia="zh-CN"/>
        </w:rPr>
      </w:pPr>
      <w:r>
        <w:rPr>
          <w:rFonts w:hint="eastAsia" w:ascii="宋体" w:hAnsi="宋体" w:eastAsia="宋体" w:cs="宋体"/>
          <w:color w:val="333333"/>
          <w:sz w:val="28"/>
          <w:szCs w:val="28"/>
          <w:shd w:val="clear" w:fill="FFFFFF"/>
          <w:lang w:val="en-US" w:eastAsia="zh-CN"/>
        </w:rPr>
        <w:t>八、钢铁</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right="0" w:firstLine="560" w:firstLineChars="200"/>
        <w:jc w:val="both"/>
        <w:textAlignment w:val="auto"/>
        <w:rPr>
          <w:rFonts w:hint="eastAsia" w:ascii="宋体" w:hAnsi="宋体" w:eastAsia="宋体" w:cs="宋体"/>
          <w:color w:val="333333"/>
          <w:sz w:val="28"/>
          <w:szCs w:val="28"/>
          <w:shd w:val="clear" w:fill="FFFFFF"/>
          <w:lang w:val="en-US" w:eastAsia="zh-CN"/>
        </w:rPr>
      </w:pPr>
      <w:r>
        <w:rPr>
          <w:rFonts w:hint="eastAsia" w:ascii="宋体" w:hAnsi="宋体" w:eastAsia="宋体" w:cs="宋体"/>
          <w:color w:val="333333"/>
          <w:sz w:val="28"/>
          <w:szCs w:val="28"/>
          <w:shd w:val="clear" w:fill="FFFFFF"/>
          <w:lang w:val="en-US" w:eastAsia="zh-CN"/>
        </w:rPr>
        <w:t>1、黑色金属矿山接替资源勘探及关键勘探技术开发，低品位难选矿综合选别和利用技术，高品质铁精矿绿色高效智能化生产技术与装备</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九、有色金属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1、有色金属现有矿山接替资源勘探开发，紧缺资源的深部及难采矿床开采</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十、黄金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1、黄金深部（1000 米及以下）探矿与开采</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十一、石化化工</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2、硫、钾、硼、锂、溴等短缺化工矿产资源勘探开发及综合利用，磷矿选矿尾矿综合利用技术开发与应用，中低品位磷矿、萤石矿采选与利用，磷矿、萤石矿伴生资源综合利用</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四十三、环境保护与资源节约综合利用</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矿山生态环境恢复工程</w:t>
      </w:r>
    </w:p>
    <w:p>
      <w:pPr>
        <w:keepNext w:val="0"/>
        <w:keepLines w:val="0"/>
        <w:pageBreakBefore w:val="0"/>
        <w:widowControl/>
        <w:numPr>
          <w:numId w:val="0"/>
        </w:numPr>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23、高效、节能、环保采矿、选矿技术（药剂）；低品位、复杂、难处理矿开发及综合利用技术与设备</w:t>
      </w:r>
    </w:p>
    <w:p>
      <w:pPr>
        <w:keepNext w:val="0"/>
        <w:keepLines w:val="0"/>
        <w:pageBreakBefore w:val="0"/>
        <w:widowControl/>
        <w:numPr>
          <w:numId w:val="0"/>
        </w:numPr>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24、共生、伴生矿产资源综合利用技术及有价元素提取</w:t>
      </w:r>
    </w:p>
    <w:p>
      <w:pPr>
        <w:pStyle w:val="3"/>
        <w:keepNext w:val="0"/>
        <w:keepLines w:val="0"/>
        <w:widowControl/>
        <w:suppressLineNumbers w:val="0"/>
        <w:spacing w:before="0" w:beforeAutospacing="0" w:after="0" w:afterAutospacing="0" w:line="240" w:lineRule="auto"/>
        <w:ind w:right="0"/>
        <w:jc w:val="center"/>
        <w:rPr>
          <w:rFonts w:hint="eastAsia" w:ascii="宋体" w:hAnsi="宋体" w:eastAsia="宋体" w:cs="宋体"/>
          <w:b/>
          <w:bCs/>
          <w:color w:val="333333"/>
          <w:sz w:val="32"/>
          <w:szCs w:val="32"/>
          <w:shd w:val="clear" w:fill="FFFFFF"/>
          <w:lang w:val="en-US" w:eastAsia="zh-CN"/>
        </w:rPr>
      </w:pPr>
      <w:r>
        <w:rPr>
          <w:rFonts w:hint="eastAsia" w:ascii="宋体" w:hAnsi="宋体" w:eastAsia="宋体" w:cs="宋体"/>
          <w:b/>
          <w:bCs/>
          <w:color w:val="333333"/>
          <w:sz w:val="32"/>
          <w:szCs w:val="32"/>
          <w:shd w:val="clear" w:fill="FFFFFF"/>
          <w:lang w:val="en-US" w:eastAsia="zh-CN"/>
        </w:rPr>
        <w:t>第二类 限制类</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二、煤炭</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sz w:val="28"/>
          <w:szCs w:val="28"/>
          <w:lang w:eastAsia="zh-CN"/>
        </w:rPr>
      </w:pPr>
      <w:r>
        <w:rPr>
          <w:rFonts w:hint="eastAsia" w:ascii="宋体" w:hAnsi="宋体" w:eastAsia="宋体" w:cs="宋体"/>
          <w:sz w:val="28"/>
          <w:szCs w:val="28"/>
        </w:rPr>
        <w:t>1、低于30万吨/年的煤矿（其中山西、内蒙古、陕西低于12</w:t>
      </w:r>
      <w:r>
        <w:rPr>
          <w:rFonts w:hint="eastAsia" w:ascii="宋体" w:hAnsi="宋体" w:eastAsia="宋体" w:cs="宋体"/>
          <w:sz w:val="28"/>
          <w:szCs w:val="28"/>
          <w:lang w:val="en-US" w:eastAsia="zh-CN"/>
        </w:rPr>
        <w:t>0</w:t>
      </w:r>
      <w:r>
        <w:rPr>
          <w:rFonts w:hint="eastAsia"/>
          <w:sz w:val="28"/>
          <w:szCs w:val="28"/>
        </w:rPr>
        <w:t>万吨/年，宁夏低于</w:t>
      </w:r>
      <w:r>
        <w:rPr>
          <w:rFonts w:hint="eastAsia"/>
          <w:sz w:val="28"/>
          <w:szCs w:val="28"/>
          <w:lang w:eastAsia="zh-CN"/>
        </w:rPr>
        <w:t>（</w:t>
      </w:r>
      <w:r>
        <w:rPr>
          <w:rFonts w:hint="eastAsia"/>
          <w:sz w:val="28"/>
          <w:szCs w:val="28"/>
        </w:rPr>
        <w:t>60万吨/年），低于90万吨/年的煤与瓦斯突出矿</w:t>
      </w:r>
      <w:r>
        <w:rPr>
          <w:rFonts w:hint="eastAsia"/>
          <w:sz w:val="28"/>
          <w:szCs w:val="28"/>
          <w:lang w:eastAsia="zh-CN"/>
        </w:rPr>
        <w:t>井</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sz w:val="28"/>
          <w:szCs w:val="28"/>
          <w:lang w:eastAsia="zh-CN"/>
        </w:rPr>
      </w:pPr>
      <w:r>
        <w:rPr>
          <w:rFonts w:hint="eastAsia"/>
          <w:sz w:val="28"/>
          <w:szCs w:val="28"/>
          <w:lang w:eastAsia="zh-CN"/>
        </w:rPr>
        <w:t>2、采用非机械化开采工艺的煤矿项目</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sz w:val="28"/>
          <w:szCs w:val="28"/>
          <w:lang w:eastAsia="zh-CN"/>
        </w:rPr>
      </w:pPr>
      <w:r>
        <w:rPr>
          <w:rFonts w:hint="eastAsia"/>
          <w:sz w:val="28"/>
          <w:szCs w:val="28"/>
          <w:lang w:eastAsia="zh-CN"/>
        </w:rPr>
        <w:t>3、煤炭资源回收率达不到国家规定要求的煤矿项目</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sz w:val="28"/>
          <w:szCs w:val="28"/>
          <w:lang w:eastAsia="zh-CN"/>
        </w:rPr>
      </w:pPr>
      <w:r>
        <w:rPr>
          <w:rFonts w:hint="eastAsia"/>
          <w:sz w:val="28"/>
          <w:szCs w:val="28"/>
          <w:lang w:eastAsia="zh-CN"/>
        </w:rPr>
        <w:t>4、未按国家规定程序报批矿区总体规划的煤矿项目</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sz w:val="28"/>
          <w:szCs w:val="28"/>
          <w:lang w:eastAsia="zh-CN"/>
        </w:rPr>
      </w:pPr>
      <w:r>
        <w:rPr>
          <w:rFonts w:hint="eastAsia"/>
          <w:sz w:val="28"/>
          <w:szCs w:val="28"/>
          <w:lang w:eastAsia="zh-CN"/>
        </w:rPr>
        <w:t>5、井下回采工作面超过 2 个的煤矿项目</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sz w:val="28"/>
          <w:szCs w:val="28"/>
          <w:lang w:eastAsia="zh-CN"/>
        </w:rPr>
      </w:pPr>
      <w:r>
        <w:rPr>
          <w:rFonts w:hint="eastAsia"/>
          <w:sz w:val="28"/>
          <w:szCs w:val="28"/>
          <w:lang w:eastAsia="zh-CN"/>
        </w:rPr>
        <w:t>6、开采深度超过《煤矿安全规程》规定的煤矿、产品质量达不到《商品煤质量管理暂行办法》要求的煤矿、开采技术和装备列入《煤炭生产技术与装备政策导向（2014 年版）》限制目录且无法实施技术改造的煤矿</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sz w:val="28"/>
          <w:szCs w:val="28"/>
          <w:lang w:eastAsia="zh-CN"/>
        </w:rPr>
      </w:pPr>
      <w:r>
        <w:rPr>
          <w:rFonts w:hint="eastAsia"/>
          <w:sz w:val="28"/>
          <w:szCs w:val="28"/>
          <w:lang w:eastAsia="zh-CN"/>
        </w:rPr>
        <w:t>七、有色金属</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sz w:val="28"/>
          <w:szCs w:val="28"/>
          <w:lang w:eastAsia="zh-CN"/>
        </w:rPr>
      </w:pPr>
      <w:r>
        <w:rPr>
          <w:rFonts w:hint="eastAsia"/>
          <w:sz w:val="28"/>
          <w:szCs w:val="28"/>
          <w:lang w:eastAsia="zh-CN"/>
        </w:rPr>
        <w:t>1、新建、扩建钨金属储量小于1万吨、年开采规模小于30万吨矿石量的钨矿开采项目（现有钨矿山的深部和边部资源开采扩建项目除外），钨、钼、锡、锑冶炼项目（符合国家环保节能等法律法规要求的项目除外）以及氧化锑、铅锡焊料生产项目，稀土采选、冶炼分离项目（符合稀土开采、冶炼分离总量控制指标要求的稀土企业集团项目除外）</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9、新建、扩建原生汞矿开采项目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八、黄金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2、日处理矿石300吨（不含）以下的无配套采矿系统的独立黄金选矿厂项目</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lef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5</w:t>
      </w:r>
      <w:r>
        <w:rPr>
          <w:rFonts w:hint="eastAsia" w:asciiTheme="minorEastAsia" w:hAnsiTheme="minorEastAsia" w:cstheme="minorEastAsia"/>
          <w:color w:val="000000"/>
          <w:kern w:val="0"/>
          <w:sz w:val="28"/>
          <w:szCs w:val="28"/>
          <w:lang w:val="en-US" w:eastAsia="zh-CN" w:bidi="ar"/>
        </w:rPr>
        <w:t>、</w:t>
      </w:r>
      <w:r>
        <w:rPr>
          <w:rFonts w:hint="eastAsia" w:asciiTheme="minorEastAsia" w:hAnsiTheme="minorEastAsia" w:eastAsiaTheme="minorEastAsia" w:cstheme="minorEastAsia"/>
          <w:color w:val="000000"/>
          <w:kern w:val="0"/>
          <w:sz w:val="28"/>
          <w:szCs w:val="28"/>
          <w:lang w:val="en-US" w:eastAsia="zh-CN" w:bidi="ar"/>
        </w:rPr>
        <w:t xml:space="preserve">日处理岩金矿石300吨（不含）以下的露天采选项目、100吨（不含）以下的地下采选项目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lef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6、年处理砂金矿砂30万（不含）立方米以下的砂金开采项目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left"/>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7、在林区、基本农田、河道中开采砂金项目</w:t>
      </w:r>
    </w:p>
    <w:p>
      <w:pPr>
        <w:keepNext w:val="0"/>
        <w:keepLines w:val="0"/>
        <w:widowControl/>
        <w:suppressLineNumbers w:val="0"/>
        <w:jc w:val="center"/>
        <w:rPr>
          <w:rFonts w:hint="eastAsia" w:ascii="宋体" w:hAnsi="宋体" w:eastAsia="宋体" w:cs="宋体"/>
          <w:b/>
          <w:bCs/>
        </w:rPr>
      </w:pPr>
      <w:r>
        <w:rPr>
          <w:rFonts w:hint="eastAsia" w:ascii="宋体" w:hAnsi="宋体" w:eastAsia="宋体" w:cs="宋体"/>
          <w:b/>
          <w:bCs/>
          <w:color w:val="000000"/>
          <w:kern w:val="0"/>
          <w:sz w:val="30"/>
          <w:szCs w:val="30"/>
          <w:lang w:val="en-US" w:eastAsia="zh-CN" w:bidi="ar"/>
        </w:rPr>
        <w:t>第三类 淘汰类</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注：条目后括号内年份为淘汰期限，淘汰期限为2020年12月31 日是指应于2020年12月31日前淘汰，其余类推；有淘汰计划的条目，根据计划进行淘汰；未标淘汰期限或淘汰计划的条目为国家产业政策已明令淘汰或立即淘汰。</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落后生产工艺装备</w:t>
      </w:r>
    </w:p>
    <w:p>
      <w:pPr>
        <w:keepNext w:val="0"/>
        <w:keepLines w:val="0"/>
        <w:pageBreakBefore w:val="0"/>
        <w:widowControl/>
        <w:numPr>
          <w:numId w:val="0"/>
        </w:numPr>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（二）煤炭</w:t>
      </w:r>
    </w:p>
    <w:p>
      <w:pPr>
        <w:keepNext w:val="0"/>
        <w:keepLines w:val="0"/>
        <w:pageBreakBefore w:val="0"/>
        <w:widowControl/>
        <w:numPr>
          <w:numId w:val="0"/>
        </w:numPr>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1、与大型煤矿井田平面投影重叠的小煤矿</w:t>
      </w:r>
    </w:p>
    <w:p>
      <w:pPr>
        <w:keepNext w:val="0"/>
        <w:keepLines w:val="0"/>
        <w:pageBreakBefore w:val="0"/>
        <w:widowControl/>
        <w:numPr>
          <w:numId w:val="0"/>
        </w:numPr>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2、山西、内蒙古、陕西、宁夏30万吨/年以下（不含30万吨/年），河北、辽宁、吉林、黑龙江、江苏、安徽、山东、河南、甘肃、青海、新疆15万吨/年以下（不含15万吨/年），其他地区9万吨/年及以下（含9万吨/年）的煤矿；长期停产停建的30万吨/年以下（不含30万吨/年）“僵尸企业”煤矿；30万吨/年以下（不含30万吨/年）冲击地压、煤与瓦斯突出等灾害严重煤矿。属于满足林区、边远山区居民生活用煤需要或承担特殊供应任务且符合资源、环保、安全、技术、能耗等标准的煤矿，经省级人民政府批准，可以暂时保留或推迟退出</w:t>
      </w:r>
    </w:p>
    <w:p>
      <w:pPr>
        <w:keepNext w:val="0"/>
        <w:keepLines w:val="0"/>
        <w:pageBreakBefore w:val="0"/>
        <w:widowControl/>
        <w:numPr>
          <w:numId w:val="0"/>
        </w:numPr>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10、开采范围与自然保护区、风景名胜区、饮用水水源保护区重叠的煤矿（根据法律法规及国家有关文件要求进行淘汰）</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（六）有色金属</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19、离子型稀土矿堆浸和池浸工艺</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20、独居石单一矿种开发项目</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23、20000吨/年（REO）以下混合型稀土矿山开发项目；5000吨（REO）/年以下的氟碳铈矿稀土矿山开发项目；500吨（REO）/年以下的离子型稀土矿山开发项目</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560" w:firstLineChars="200"/>
        <w:jc w:val="both"/>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26、原生汞矿开采（2032年8月16日）</w:t>
      </w:r>
    </w:p>
    <w:p>
      <w:pPr>
        <w:keepNext w:val="0"/>
        <w:keepLines w:val="0"/>
        <w:widowControl/>
        <w:suppressLineNumbers w:val="0"/>
        <w:ind w:firstLine="560" w:firstLineChars="200"/>
        <w:jc w:val="left"/>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（七）黄金</w:t>
      </w:r>
    </w:p>
    <w:p>
      <w:pPr>
        <w:keepNext w:val="0"/>
        <w:keepLines w:val="0"/>
        <w:widowControl/>
        <w:suppressLineNumbers w:val="0"/>
        <w:ind w:firstLine="560" w:firstLineChars="200"/>
        <w:jc w:val="left"/>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4、日处理能力 50 吨（不含）以下采选项目</w:t>
      </w:r>
    </w:p>
    <w:p>
      <w:pPr>
        <w:ind w:firstLine="560" w:firstLineChars="200"/>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方正小标宋_GBK">
    <w:altName w:val="微软雅黑"/>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AA8EC"/>
    <w:multiLevelType w:val="singleLevel"/>
    <w:tmpl w:val="896AA8EC"/>
    <w:lvl w:ilvl="0" w:tentative="0">
      <w:start w:val="1"/>
      <w:numFmt w:val="chineseCounting"/>
      <w:suff w:val="nothing"/>
      <w:lvlText w:val="%1、"/>
      <w:lvlJc w:val="left"/>
      <w:rPr>
        <w:rFonts w:hint="eastAsia"/>
      </w:rPr>
    </w:lvl>
  </w:abstractNum>
  <w:abstractNum w:abstractNumId="1">
    <w:nsid w:val="978D9C0C"/>
    <w:multiLevelType w:val="singleLevel"/>
    <w:tmpl w:val="978D9C0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F7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line="840" w:lineRule="atLeast"/>
      <w:ind w:left="0" w:right="0"/>
      <w:jc w:val="center"/>
    </w:pPr>
    <w:rPr>
      <w:rFonts w:hint="eastAsia" w:ascii="微软雅黑" w:hAnsi="微软雅黑" w:eastAsia="微软雅黑" w:cs="微软雅黑"/>
      <w:kern w:val="44"/>
      <w:sz w:val="57"/>
      <w:szCs w:val="5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FollowedHyperlink"/>
    <w:basedOn w:val="5"/>
    <w:uiPriority w:val="0"/>
    <w:rPr>
      <w:color w:val="000000"/>
      <w:u w:val="none"/>
    </w:rPr>
  </w:style>
  <w:style w:type="character" w:styleId="7">
    <w:name w:val="HTML Definition"/>
    <w:basedOn w:val="5"/>
    <w:uiPriority w:val="0"/>
  </w:style>
  <w:style w:type="character" w:styleId="8">
    <w:name w:val="HTML Variable"/>
    <w:basedOn w:val="5"/>
    <w:uiPriority w:val="0"/>
  </w:style>
  <w:style w:type="character" w:styleId="9">
    <w:name w:val="Hyperlink"/>
    <w:basedOn w:val="5"/>
    <w:uiPriority w:val="0"/>
    <w:rPr>
      <w:color w:val="000000"/>
      <w:u w:val="none"/>
    </w:rPr>
  </w:style>
  <w:style w:type="character" w:styleId="10">
    <w:name w:val="HTML Code"/>
    <w:basedOn w:val="5"/>
    <w:uiPriority w:val="0"/>
    <w:rPr>
      <w:rFonts w:ascii="Courier New" w:hAnsi="Courier New"/>
      <w:sz w:val="20"/>
    </w:rPr>
  </w:style>
  <w:style w:type="character" w:styleId="11">
    <w:name w:val="HTML Cite"/>
    <w:basedOn w:val="5"/>
    <w:uiPriority w:val="0"/>
  </w:style>
  <w:style w:type="character" w:customStyle="1" w:styleId="12">
    <w:name w:val="gwds_nopic"/>
    <w:basedOn w:val="5"/>
    <w:uiPriority w:val="0"/>
  </w:style>
  <w:style w:type="character" w:customStyle="1" w:styleId="13">
    <w:name w:val="gwds_nopic1"/>
    <w:basedOn w:val="5"/>
    <w:uiPriority w:val="0"/>
  </w:style>
  <w:style w:type="character" w:customStyle="1" w:styleId="14">
    <w:name w:val="gwds_nopic2"/>
    <w:basedOn w:val="5"/>
    <w:uiPriority w:val="0"/>
  </w:style>
  <w:style w:type="character" w:customStyle="1" w:styleId="15">
    <w:name w:val="font"/>
    <w:basedOn w:val="5"/>
    <w:uiPriority w:val="0"/>
  </w:style>
  <w:style w:type="character" w:customStyle="1" w:styleId="16">
    <w:name w:val="font1"/>
    <w:basedOn w:val="5"/>
    <w:uiPriority w:val="0"/>
  </w:style>
  <w:style w:type="character" w:customStyle="1" w:styleId="17">
    <w:name w:val="hover19"/>
    <w:basedOn w:val="5"/>
    <w:uiPriority w:val="0"/>
    <w:rPr>
      <w:color w:val="025291"/>
    </w:rPr>
  </w:style>
  <w:style w:type="character" w:customStyle="1" w:styleId="18">
    <w:name w:val="noline"/>
    <w:basedOn w:val="5"/>
    <w:uiPriority w:val="0"/>
  </w:style>
  <w:style w:type="character" w:customStyle="1" w:styleId="19">
    <w:name w:val="place"/>
    <w:basedOn w:val="5"/>
    <w:uiPriority w:val="0"/>
    <w:rPr>
      <w:rFonts w:ascii="微软雅黑" w:hAnsi="微软雅黑" w:eastAsia="微软雅黑" w:cs="微软雅黑"/>
      <w:color w:val="888888"/>
      <w:sz w:val="25"/>
      <w:szCs w:val="25"/>
      <w:bdr w:val="none" w:color="auto" w:sz="0" w:space="0"/>
    </w:rPr>
  </w:style>
  <w:style w:type="character" w:customStyle="1" w:styleId="20">
    <w:name w:val="place1"/>
    <w:basedOn w:val="5"/>
    <w:uiPriority w:val="0"/>
    <w:rPr>
      <w:bdr w:val="none" w:color="auto" w:sz="0" w:space="0"/>
    </w:rPr>
  </w:style>
  <w:style w:type="character" w:customStyle="1" w:styleId="21">
    <w:name w:val="place2"/>
    <w:basedOn w:val="5"/>
    <w:uiPriority w:val="0"/>
    <w:rPr>
      <w:bdr w:val="none" w:color="auto" w:sz="0" w:space="0"/>
    </w:rPr>
  </w:style>
  <w:style w:type="character" w:customStyle="1" w:styleId="22">
    <w:name w:val="place3"/>
    <w:basedOn w:val="5"/>
    <w:uiPriority w:val="0"/>
    <w:rPr>
      <w:bdr w:val="none" w:color="auto" w:sz="0" w:space="0"/>
    </w:rPr>
  </w:style>
  <w:style w:type="character" w:customStyle="1" w:styleId="23">
    <w:name w:val="laypage_curr"/>
    <w:basedOn w:val="5"/>
    <w:uiPriority w:val="0"/>
    <w:rPr>
      <w:color w:val="FFFDF4"/>
      <w:shd w:val="clear" w:fill="0B67A6"/>
    </w:rPr>
  </w:style>
  <w:style w:type="character" w:customStyle="1" w:styleId="24">
    <w:name w:val="hover"/>
    <w:basedOn w:val="5"/>
    <w:uiPriority w:val="0"/>
    <w:rPr>
      <w:color w:val="02529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2021-04-26T00:08:35Z</dcterms:created>
  <dc:creator>Administrator</dc:creator>
  <cp:lastModifiedBy>雨露</cp:lastModifiedBy>
  <dcterms:modified xsi:type="dcterms:W3CDTF">2021-04-26T00:40:55Z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BE8200FDBC4640E0942DD772E36AA704</vt:lpwstr>
  </property>
</Properties>
</file>