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Arial" w:hAnsi="Arial" w:eastAsia="新宋体" w:cs="Arial"/>
          <w:b/>
          <w:bCs/>
          <w:color w:val="000000"/>
          <w:sz w:val="30"/>
          <w:szCs w:val="30"/>
        </w:rPr>
      </w:pPr>
      <w:r>
        <w:rPr>
          <w:rFonts w:hint="default" w:ascii="Arial" w:hAnsi="Arial" w:eastAsia="新宋体" w:cs="Arial"/>
          <w:b/>
          <w:bCs/>
          <w:color w:val="000000"/>
          <w:kern w:val="0"/>
          <w:sz w:val="30"/>
          <w:szCs w:val="30"/>
          <w:bdr w:val="none" w:color="auto" w:sz="0" w:space="0"/>
          <w:lang w:val="en-US" w:eastAsia="zh-CN" w:bidi="ar"/>
        </w:rPr>
        <w:t>矿产资源勘查区块登记管理办法</w:t>
      </w:r>
    </w:p>
    <w:p>
      <w:pPr>
        <w:pStyle w:val="20"/>
      </w:pPr>
      <w:r>
        <w:t>窗体底端</w:t>
      </w:r>
    </w:p>
    <w:p>
      <w:pPr>
        <w:pStyle w:val="19"/>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60" w:firstLineChars="200"/>
        <w:jc w:val="both"/>
        <w:rPr>
          <w:rFonts w:hint="eastAsia" w:ascii="宋体" w:hAnsi="宋体" w:eastAsia="宋体" w:cs="宋体"/>
          <w:color w:val="000000" w:themeColor="text1"/>
          <w:kern w:val="0"/>
          <w:sz w:val="28"/>
          <w:szCs w:val="28"/>
          <w:bdr w:val="none" w:color="auto" w:sz="0" w:space="0"/>
          <w:lang w:val="en-US" w:eastAsia="zh-CN" w:bidi="ar"/>
          <w14:textFill>
            <w14:solidFill>
              <w14:schemeClr w14:val="tx1"/>
            </w14:solidFill>
          </w14:textFill>
        </w:rPr>
      </w:pPr>
      <w:r>
        <w:rPr>
          <w:rFonts w:hint="eastAsia" w:ascii="宋体" w:hAnsi="宋体" w:eastAsia="宋体" w:cs="宋体"/>
          <w:color w:val="000000" w:themeColor="text1"/>
          <w:kern w:val="0"/>
          <w:sz w:val="28"/>
          <w:szCs w:val="28"/>
          <w:bdr w:val="none" w:color="auto" w:sz="0" w:space="0"/>
          <w:lang w:val="en-US" w:eastAsia="zh-CN" w:bidi="ar"/>
          <w14:textFill>
            <w14:solidFill>
              <w14:schemeClr w14:val="tx1"/>
            </w14:solidFill>
          </w14:textFill>
        </w:rPr>
        <w:t>（1998年02月12日国务院令第240号发布 根据2014年07月29日《国务院关于修改部分行政法规的决定》修订）</w:t>
      </w:r>
    </w:p>
    <w:p>
      <w:pPr>
        <w:pStyle w:val="19"/>
      </w:pPr>
      <w:r>
        <w:t>窗体顶端</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eastAsia" w:ascii="Arial" w:hAnsi="Arial" w:eastAsia="新宋体" w:cs="Arial"/>
          <w:b/>
          <w:bCs/>
          <w:color w:val="666666"/>
          <w:sz w:val="21"/>
          <w:szCs w:val="21"/>
        </w:rPr>
        <w:t>第一条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为了加强对矿产资源勘查的管理，保护探矿权人的合法权益，维护矿产资源勘查秩序，促进矿业发展，根据《中华人民共和国矿产资源法》，制定本办法。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"https://www.lawxp.com/wl/statuteInfo/Provision.aspx?iid=1000074647"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在中华人民共和国领域及管辖的其他海域勘查矿产资源，必须遵守本办法。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"https://www.lawxp.com/wl/statuteInfo/Provision.aspx?iid=1000074648"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国家对矿产资源勘查实行统一的区块登记管理制度。矿产资源勘查工作区范围以经纬度１''×１''划分的区块为基本单位区块。每个勘查项目允许登记的最大范围：</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（一）矿泉水为１０个基本单位区块；</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（二）金属矿产、非金属矿产、放射性矿产为４０个基本单位区块；</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（三）地热、煤、水气矿产为２００个基本单位区块；</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（四）石油、天然气矿产为２５００个基本单位区块。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"https://www.lawxp.com/wl/statuteInfo/Provision.aspx?iid=1000074649"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第四条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勘查下列矿产资源，由国务院地质矿产主管部门审批登记，颁发勘查许可证：</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（一）跨省、自治区、直辖市的矿产资源；</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（二）领海及中国管辖的其他海域的矿产资源；</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（三）外商投资勘查的矿产资源；</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（四）本办法附录所列的矿产资源。</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勘查石油、天然气矿产的，经国务院指定的机关审查同意后，由国务院地质矿产主管部门登记，颁发勘查许可证。</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勘查下列矿产资源，由省、自治区、直辖市人民政府地质矿产主管部门审批登记，颁发勘查许可证，并应当自发证之日起１０日内，向国务院地质矿产主管部门备案：</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（一）本条第一款、第二款规定以外的矿产资源；</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（二）国务院地质矿产主管部门授权省、自治区、直辖市人民政府地质矿产主管部门审批登记的矿产资源。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"https://www.lawxp.com/wl/statuteInfo/Provision.aspx?iid=1000074650"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第五条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勘查出资人为探矿权申请人；但是，国家出资勘查的，国家委托勘查的单位为探矿权申请人。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"https://www.lawxp.com/wl/statuteInfo/Provision.aspx?iid=1000074651"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第六条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探矿权申请人申请探矿权时，应当向登记管理机关提交下列资料：</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（一）申请登记书和申请的区块范围图；</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（二）勘查单位的资格证书复印件；</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（三）勘查工作计划、勘查合同或者委托勘查的证明文件；</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（四）勘查实施方案及附件；</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（五）勘查项目资金来源证明；</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（六）国务院地质矿产主管部门规定提交的其他资料。</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申请勘查石油、天然气的，还应当提交国务院批准设立石油公司或者同意进行石油、天然气勘查的批准文件以及勘查单位法人资格证明。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"https://www.lawxp.com/wl/statuteInfo/Provision.aspx?iid=1000074652"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第七条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申请石油、天然气滚动勘探开发的，应当向登记管理机关提交下列资料，经批准，办理登记手续，领取滚动勘探开发的采矿许可证：</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（一）申请登记书和滚动勘探开发矿区范围图；</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（二）国务院计划主管部门批准的项目建议书；</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（三）需要进行滚动勘探开发的论证材料；</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（四）经国务院矿产储量审批机构批准进行石油、天然气滚动勘探开发的储量报告；</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（五）滚动勘探开发利用方案。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"https://www.lawxp.com/wl/statuteInfo/Provision.aspx?iid=1000074653"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第八条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应当自收到申请之日起４０日内，按照申请在先的原则作出准予登记或者不予登记的决定，并通知探矿权申请人。对申请勘查石油、天然气的，登记管理机关还应当在收到申请后及时予以公告或者提供查询。</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登记管理机关应当保证国家地质勘查计划一类项目的登记，具体办法由国务院地质矿产主管部门会同国务院计划主管部门制定。</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需要探矿权申请人修改或者补充本办法第六条规定的资料的，登记管理机关应当通知探矿权申请人限期修改或者补充。</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准予登记的，探矿权申请人应当自收到通知之日起３０日内，依照本办法第十二条的规定缴纳探矿权使用费，并依照本办法第十三条的规定缴纳国家出资勘查形成的探矿权价款，办理登记手续，领取勘查许可证，成为探矿权人。</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不予登记的，登记管理机关应当向探矿权申请人说明理由。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"https://www.lawxp.com/wl/statuteInfo/Provision.aspx?iid=1000074654"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第九条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禁止任何单位和个人进入他人依法取得探矿权的勘查作业区内进行勘查或者采矿活动。</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探矿权人与采矿权人对勘查作业区范围和矿区范围发生争议的，由当事人协商解决；协商不成的，由发证的登记管理机关中级别高的登记管理机关裁决。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"https://www.lawxp.com/wl/statuteInfo/Provision.aspx?iid=1000074678"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勘查许可证有效期最长为3年；但是，石油、天然气勘查许可证有效</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期最长为７年。需要延长勘查工作时间的，探矿权人应当在勘查许可证有效期届满的３０日前，到登记管理机关办理延续登记手续，每次延续时间不得超过２年。</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探矿权人逾期不办理延续登记手续的，勘查许可证自行废止。</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石油、天然气滚动勘探开发的采矿许可证有效期最长为１５年；但是，探明储量的区块，应当申请办理采矿许可证。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"https://www.lawxp.com/wl/statuteInfo/Provision.aspx?iid=1000074655"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 xml:space="preserve">第十一条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登记管理机关应当自颁发勘查许可证之日起１０日内，将登记发证项目的名称、探矿权人、区块范围和勘查许可证期限等事项，通知勘查项目所在地的县级人民政府负责地质矿产管理工作的部门。</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登记管理机关对勘查区块登记发证情况，应当定期予以公告。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"https://www.lawxp.com/wl/statuteInfo/Provision.aspx?iid=1000074679"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第十二条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国家实行探矿权有偿取得的制度。探矿权使用费以勘查年度计算，逐年缴纳。</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探矿权使用费标准：第一个勘查年度至第三个勘查年度，每平方公里每年缴纳１００元；从第四个勘查年度起，每平方公里每年增加１００元，但是最高不得超过每平方公里每年５００元。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"https://www.lawxp.com/wl/statuteInfo/Provision.aspx?iid=1000074656"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第十三条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申请国家出资勘查并已经探明矿产地的区块的探矿权的，探矿权申请人除依照本办法第十二条的规定缴纳探矿权使用费外，还应当缴纳国家出资勘查形成的探矿权价款；探矿权价款按照国家有关规定，可以一次缴纳，也可以分期缴纳。</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国家出资勘查形成的探矿权价款，由具有矿业权评估资质的评估机构进行评估；评估报告报登记管理机关备案。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color w:val="8A8A8A"/>
          <w:sz w:val="18"/>
          <w:szCs w:val="18"/>
        </w:rPr>
      </w:pPr>
      <w:r>
        <w:rPr>
          <w:rFonts w:hint="default" w:ascii="Arial" w:hAnsi="Arial" w:eastAsia="新宋体" w:cs="Arial"/>
          <w:color w:val="8A8A8A"/>
          <w:kern w:val="0"/>
          <w:sz w:val="18"/>
          <w:szCs w:val="18"/>
          <w:bdr w:val="none" w:color="auto" w:sz="0" w:space="0"/>
          <w:lang w:val="en-US" w:eastAsia="zh-CN" w:bidi="ar"/>
        </w:rPr>
        <w:t xml:space="preserve">( </w:t>
      </w:r>
      <w:r>
        <w:rPr>
          <w:rFonts w:hint="default" w:ascii="Arial" w:hAnsi="Arial" w:eastAsia="新宋体" w:cs="Arial"/>
          <w:color w:val="FF0000"/>
          <w:kern w:val="0"/>
          <w:sz w:val="18"/>
          <w:szCs w:val="18"/>
          <w:bdr w:val="none" w:color="auto" w:sz="0" w:space="0"/>
          <w:lang w:val="en-US" w:eastAsia="zh-CN" w:bidi="ar"/>
        </w:rPr>
        <w:t>相关资料：</w:t>
      </w:r>
      <w:r>
        <w:rPr>
          <w:rFonts w:hint="default" w:ascii="Arial" w:hAnsi="Arial" w:eastAsia="新宋体" w:cs="Arial"/>
          <w:color w:val="8A8A8A"/>
          <w:kern w:val="0"/>
          <w:sz w:val="18"/>
          <w:szCs w:val="18"/>
          <w:bdr w:val="none" w:color="auto" w:sz="0" w:space="0"/>
          <w:lang w:val="en-US" w:eastAsia="zh-CN" w:bidi="ar"/>
        </w:rPr>
        <w:t xml:space="preserve"> </w:t>
      </w:r>
      <w:r>
        <w:rPr>
          <w:rFonts w:hint="default" w:ascii="Arial" w:hAnsi="Arial" w:eastAsia="新宋体" w:cs="Arial"/>
          <w:color w:val="333333"/>
          <w:kern w:val="0"/>
          <w:sz w:val="18"/>
          <w:szCs w:val="18"/>
          <w:u w:val="none"/>
          <w:bdr w:val="none" w:color="auto" w:sz="0" w:space="0"/>
          <w:lang w:val="en-US" w:eastAsia="zh-CN" w:bidi="ar"/>
        </w:rPr>
        <w:fldChar w:fldCharType="begin"/>
      </w:r>
      <w:r>
        <w:rPr>
          <w:rFonts w:hint="default" w:ascii="Arial" w:hAnsi="Arial" w:eastAsia="新宋体" w:cs="Arial"/>
          <w:color w:val="333333"/>
          <w:kern w:val="0"/>
          <w:sz w:val="18"/>
          <w:szCs w:val="18"/>
          <w:u w:val="none"/>
          <w:bdr w:val="none" w:color="auto" w:sz="0" w:space="0"/>
          <w:lang w:val="en-US" w:eastAsia="zh-CN" w:bidi="ar"/>
        </w:rPr>
        <w:instrText xml:space="preserve"> HYPERLINK "https://www.lawxp.com/wl/statuteInfo/Provision.aspx?iid=1000074680" \t "https://www.lawxp.com/statute/blank" </w:instrText>
      </w:r>
      <w:r>
        <w:rPr>
          <w:rFonts w:hint="default" w:ascii="Arial" w:hAnsi="Arial" w:eastAsia="新宋体" w:cs="Arial"/>
          <w:color w:val="333333"/>
          <w:kern w:val="0"/>
          <w:sz w:val="18"/>
          <w:szCs w:val="18"/>
          <w:u w:val="none"/>
          <w:bdr w:val="none" w:color="auto" w:sz="0" w:space="0"/>
          <w:lang w:val="en-US" w:eastAsia="zh-CN" w:bidi="ar"/>
        </w:rPr>
        <w:fldChar w:fldCharType="separate"/>
      </w:r>
      <w:r>
        <w:rPr>
          <w:rStyle w:val="7"/>
          <w:rFonts w:hint="default" w:ascii="Arial" w:hAnsi="Arial" w:eastAsia="新宋体" w:cs="Arial"/>
          <w:color w:val="333333"/>
          <w:sz w:val="18"/>
          <w:szCs w:val="18"/>
          <w:u w:val="none"/>
          <w:bdr w:val="none" w:color="auto" w:sz="0" w:space="0"/>
        </w:rPr>
        <w:t>修订沿革</w:t>
      </w:r>
      <w:r>
        <w:rPr>
          <w:rFonts w:hint="default" w:ascii="Arial" w:hAnsi="Arial" w:eastAsia="新宋体" w:cs="Arial"/>
          <w:color w:val="333333"/>
          <w:kern w:val="0"/>
          <w:sz w:val="18"/>
          <w:szCs w:val="18"/>
          <w:u w:val="none"/>
          <w:bdr w:val="none" w:color="auto" w:sz="0" w:space="0"/>
          <w:lang w:val="en-US" w:eastAsia="zh-CN" w:bidi="ar"/>
        </w:rPr>
        <w:fldChar w:fldCharType="end"/>
      </w:r>
      <w:r>
        <w:rPr>
          <w:rFonts w:hint="default" w:ascii="Arial" w:hAnsi="Arial" w:eastAsia="新宋体" w:cs="Arial"/>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第十四条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探矿权使用费和国家出资勘查形成的探矿权价款，由登记管理机关收取，全部纳入国家预算管理。具体管理、使用办法，由国务院地质矿产主管部门会同国务院财政部门、计划主管部门制定。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"https://www.lawxp.com/wl/statuteInfo/Provision.aspx?iid=1000074681"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第十五条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有下列情形之一的，由探矿权人提出申请，经登记管理机关按照国务院地质矿产主管部门会同国务院财政部门制定的探矿权使用费和探矿权价款的减免办法审查批准，可以减缴、免缴探矿权使用费和探矿权价款：</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（一）国家鼓励勘查的矿种；</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（二）国家鼓励勘查的区域；</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（三）国务院地质矿产主管部门会同国务院财政部门规定的其他情形。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"https://www.lawxp.com/wl/statuteInfo/Provision.aspx?iid=1000074657"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第十六条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探矿权可以通过招标投标的方式有偿取得。</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登记管理机关依照本办法第四条规定的权限确定招标区块，发布招标公告，提出投标要求和截止日期；但是，对境外招标的区块由国务院地质矿产主管部门确定。</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登记管理机关组织评标，采取择优原则确定中标人。中标人缴纳本办法第十二条、第十三条规定的费用后，办理登记手续，领取勘查许可证，成为探矿权人，并履行标书中承诺的义务。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"https://www.lawxp.com/wl/statuteInfo/Provision.aspx?iid=1000074658"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第十七条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探矿权人应当自领取勘查许可证之日起，按照下列规定完成最低勘查投入：</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（一）第一个勘查年度，每平方公里２０００元；</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（二）第二个勘查年度，每平方公里５０００元；</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（三）从第三个勘查年度起，每个勘查年度每平方公里１００００元。</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探矿权人当年度的勘查投入高于最低勘查投入标准的，高于的部分可以计入下一个勘查年度的勘查投入。</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因自然灾害等不可抗力的原因，致使勘查工作不能正常进行的，探矿权人应当自恢复正常勘查工作之日起３０日内，向登记管理机关提交申请核减相应的最低勘查投入的报告；登记管理机关应当自收到报告之日起３０日内予以批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"https://www.lawxp.com/wl/statuteInfo/Provision.aspx?iid=1000074659"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第十八条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探矿权人应当自领取勘查许可证之日起６个月内开始施工；在开始勘查工作时，应当向勘查项目所在地的县级人民政府负责地质矿产管理工作的部门报告，并向登记管理机关报告开工情况。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"https://www.lawxp.com/wl/statuteInfo/Provision.aspx?iid=1000074682"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第十九条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探矿权人在勘查许可证有效期内进行勘查时，发现符合国家边探边采规定要求的复杂类型矿床的，可以申请开采，经登记管理机关批准，办理采矿登记手续。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"https://www.lawxp.com/wl/statuteInfo/Provision.aspx?iid=1000074660"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探矿权人在勘查石油、天然气等流体矿产期间，需要试采的，应当向登记管理机关提交试采申请，经批准后可以试采１年；需要延长试采时间的，必须办理登记手续。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"https://www.lawxp.com/wl/statuteInfo/Provision.aspx?iid=1000074661"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第二十一条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在勘查许可证有效期内探明可供开采的矿体后，经登记管理机关批准，可以停止相应区块的最低勘查投入，并可以在勘查许可证有效期届满的３０日前，申请保留探矿权。但是，国家为了公共利益或者因技术条件暂时难以利用等情况，需要延期开采的除外。</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保留探矿权的期限，最长不得超过２年，需要延长保留期的，可以申请延长２次，每次不得超过２年；保留探矿权的范围为可供开采的矿体范围。</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在停止最低勘查投入期间或者探矿权保留期间，探矿权人应当依照本办法的规定，缴纳探矿权使用费。</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探矿权保留期届满，勘查许可证应当予以注销。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"https://www.lawxp.com/wl/statuteInfo/Provision.aspx?iid=1000074683"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第二十二条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有下列情形之一的，探矿权人应当在勘查许可证有效期内，向登记管理机关申请变更登记：</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（一）扩大或者缩小勘查区块范围的；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（二）改变勘查工作对象的；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（三）经依法批准转让探矿权的；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（四）探矿权人改变名称或者地址的。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"https://www.lawxp.com/wl/statuteInfo/Provision.aspx?iid=1000074662"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第二十三条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探矿权延续登记和变更登记，其勘查年度、探矿权使用费和最低勘查投入连续计算。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"https://www.lawxp.com/wl/statuteInfo/Provision.aspx?iid=1000074663"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第二十四条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有下列情形之一的，探矿权人应当在勘查许可证有效期内，向登记管理机关递交勘查项目完成报告或者勘查项目终止报告，报送资金投入情况报表和有关证明文件，由登记管理机关核定其实际勘查投入后，办理勘查许可证注销登记手续：</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（一）勘查许可证有效期届满，不办理延续登记或者不申请保留探矿权的；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（二）申请采矿权的；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（三）因故需要撤销勘查项目的。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自勘查许可证注销之日起９０日内，原探矿权人不得申请已经注销的区块范围内的探矿权。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"https://www.lawxp.com/wl/statuteInfo/Provision.aspx?iid=1000074664"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第二十五条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登记管理机关需要调查勘查投入、勘查工作进展情况，探矿权人应当如实报告并提供有关资料，不得虚报、瞒报，不得拒绝检查。</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对探矿权人要求保密的申请登记资料、勘查工作成果资料和财务报表，登记管理机关应当予以保密。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"https://www.lawxp.com/wl/statuteInfo/Provision.aspx?iid=1000074684"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第二十六条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违反本办法规定，未取得勘查许可证擅自进行勘查工作的，超越批准的勘查区块范围进行勘查工作的，由县级以上人民政府负责地质矿产管理工作的部门按照国务院地质矿产主管部门规定的权限，责令停止违法行为，予以警告，可以并处１０万元以下的罚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"https://www.lawxp.com/wl/statuteInfo/Provision.aspx?iid=1000074665"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第二十七条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违反本办法规定，未经批准，擅自进行滚动勘探开发、边探边采或者试采的，由县级以上人民政府负责地质矿产管理工作的部门按照国务院地质矿产主管部门规定的权限，责令停止违法行为，予以警告，没收违法所得，可以并处１０万元以下的罚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"https://www.lawxp.com/wl/statuteInfo/Provision.aspx?iid=1000074666"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第二十八条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违反本办法规定，擅自印制或者伪造、冒用勘查许可证的，由县级以上人民政府负责地质矿产管理工作的部门按照国务院地质矿产主管部门规定的权限，没收违法所得，可以并处１０万元以下的罚款；构成犯罪的，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"https://www.lawxp.com/wl/statuteInfo/Provision.aspx?iid=1000074667"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第二十九条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违反本办法规定，有下列行为之一的，由县级以上人民政府负责地质矿产管理工作的部门按照国务院地质矿产主管部门规定的权限，责令限期改正；逾期不改正的，处５万元以下的罚款；情节严重的，原发证机关可以吊销勘查许可证：</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（一）不按照本办法的规定备案、报告有关情况、拒绝接受监督检查或者弄虚作假的；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（二）未完成最低勘查投入的；</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（三）已经领取勘查许可证的勘查项目，满６个月未开始施工，或者施工后无故停止勘查工作满６个月的。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"https://www.lawxp.com/wl/statuteInfo/Provision.aspx?iid=1000074668"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违反本办法规定，不办理勘查许可证变更登记或者注销登记手续的，由登记管理机关责令限期改正；逾期不改正的，由原发证机关吊销勘查许可证。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"https://www.lawxp.com/wl/statuteInfo/Provision.aspx?iid=1000074669"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第三十一条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违反本办法规定，不按期缴纳本办法规定应当缴纳的费用的，由登记管理机关责令限期缴纳，并从滞纳之日起每日加收千分之二的滞纳金；逾期仍不缴纳的，由原发证机关吊销勘查许可证。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"https://www.lawxp.com/wl/statuteInfo/Provision.aspx?iid=1000074670"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 xml:space="preserve">第三十二条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违反本办法规定勘查石油、天然气矿产的，由国务院地质矿产主管部门按照本办法的有关规定给予行政处罚。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"https://www.lawxp.com/wl/statuteInfo/Provision.aspx?iid=1000074685"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第三十三条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探矿权人被吊销勘查许可证的，自勘查许可证被吊销之日起６个月内，不得再申请探矿权。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"https://www.lawxp.com/wl/statuteInfo/Provision.aspx?iid=1000074671"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第三十四条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登记管理机关工作人员徇私舞弊、滥用职权、玩忽职守，构成犯罪的，依法追究刑事责任；尚不构成犯罪的，依法给予行政处分。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"https://www.lawxp.com/wl/statuteInfo/Provision.aspx?iid=1000074672"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第三十五条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勘查许可证由国务院地质矿产主管部门统一印制。申请登记书、变更申请登记书、探矿权保留申请登记书和注销申请登记书的格式，由国务院地质矿产主管部门统一制定。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"https://www.lawxp.com/wl/statuteInfo/Provision.aspx?iid=1000074673"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第三十六条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办理勘查登记手续，应当按照规定缴纳登记费。收费标准和管理、使用办法，由国务院物价主管部门会同国务院地质矿产主管部门、财政部门规定。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"https://www.lawxp.com/wl/statuteInfo/Provision.aspx?iid=1000074674"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第三十七条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外商投资勘查矿产资源的，依照本办法的规定办理；法律、行政法规另有特别规定的，从其规定。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"https://www.lawxp.com/wl/statuteInfo/Provision.aspx?iid=1000074686"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第三十八条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中外合作勘查矿产资源的，中方合作者应当在签订合同后，将合同向原发证机关备案。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color w:val="8A8A8A"/>
          <w:sz w:val="18"/>
          <w:szCs w:val="18"/>
        </w:rPr>
      </w:pPr>
      <w:r>
        <w:rPr>
          <w:rFonts w:hint="default" w:ascii="Arial" w:hAnsi="Arial" w:eastAsia="新宋体" w:cs="Arial"/>
          <w:color w:val="8A8A8A"/>
          <w:kern w:val="0"/>
          <w:sz w:val="18"/>
          <w:szCs w:val="18"/>
          <w:bdr w:val="none" w:color="auto" w:sz="0" w:space="0"/>
          <w:lang w:val="en-US" w:eastAsia="zh-CN" w:bidi="ar"/>
        </w:rPr>
        <w:t xml:space="preserve">( </w:t>
      </w:r>
      <w:r>
        <w:rPr>
          <w:rFonts w:hint="default" w:ascii="Arial" w:hAnsi="Arial" w:eastAsia="新宋体" w:cs="Arial"/>
          <w:color w:val="FF0000"/>
          <w:kern w:val="0"/>
          <w:sz w:val="18"/>
          <w:szCs w:val="18"/>
          <w:bdr w:val="none" w:color="auto" w:sz="0" w:space="0"/>
          <w:lang w:val="en-US" w:eastAsia="zh-CN" w:bidi="ar"/>
        </w:rPr>
        <w:t>相关资料：</w:t>
      </w:r>
      <w:r>
        <w:rPr>
          <w:rFonts w:hint="default" w:ascii="Arial" w:hAnsi="Arial" w:eastAsia="新宋体" w:cs="Arial"/>
          <w:color w:val="8A8A8A"/>
          <w:kern w:val="0"/>
          <w:sz w:val="18"/>
          <w:szCs w:val="18"/>
          <w:bdr w:val="none" w:color="auto" w:sz="0" w:space="0"/>
          <w:lang w:val="en-US" w:eastAsia="zh-CN" w:bidi="ar"/>
        </w:rPr>
        <w:t xml:space="preserve"> </w:t>
      </w:r>
      <w:r>
        <w:rPr>
          <w:rFonts w:hint="default" w:ascii="Arial" w:hAnsi="Arial" w:eastAsia="新宋体" w:cs="Arial"/>
          <w:color w:val="333333"/>
          <w:kern w:val="0"/>
          <w:sz w:val="18"/>
          <w:szCs w:val="18"/>
          <w:u w:val="none"/>
          <w:bdr w:val="none" w:color="auto" w:sz="0" w:space="0"/>
          <w:lang w:val="en-US" w:eastAsia="zh-CN" w:bidi="ar"/>
        </w:rPr>
        <w:fldChar w:fldCharType="begin"/>
      </w:r>
      <w:r>
        <w:rPr>
          <w:rFonts w:hint="default" w:ascii="Arial" w:hAnsi="Arial" w:eastAsia="新宋体" w:cs="Arial"/>
          <w:color w:val="333333"/>
          <w:kern w:val="0"/>
          <w:sz w:val="18"/>
          <w:szCs w:val="18"/>
          <w:u w:val="none"/>
          <w:bdr w:val="none" w:color="auto" w:sz="0" w:space="0"/>
          <w:lang w:val="en-US" w:eastAsia="zh-CN" w:bidi="ar"/>
        </w:rPr>
        <w:instrText xml:space="preserve"> HYPERLINK "https://www.lawxp.com/wl/statuteInfo/Provision.aspx?iid=1000074675" \t "https://www.lawxp.com/statute/blank" </w:instrText>
      </w:r>
      <w:r>
        <w:rPr>
          <w:rFonts w:hint="default" w:ascii="Arial" w:hAnsi="Arial" w:eastAsia="新宋体" w:cs="Arial"/>
          <w:color w:val="333333"/>
          <w:kern w:val="0"/>
          <w:sz w:val="18"/>
          <w:szCs w:val="18"/>
          <w:u w:val="none"/>
          <w:bdr w:val="none" w:color="auto" w:sz="0" w:space="0"/>
          <w:lang w:val="en-US" w:eastAsia="zh-CN" w:bidi="ar"/>
        </w:rPr>
        <w:fldChar w:fldCharType="separate"/>
      </w:r>
      <w:r>
        <w:rPr>
          <w:rStyle w:val="7"/>
          <w:rFonts w:hint="default" w:ascii="Arial" w:hAnsi="Arial" w:eastAsia="新宋体" w:cs="Arial"/>
          <w:color w:val="333333"/>
          <w:sz w:val="18"/>
          <w:szCs w:val="18"/>
          <w:u w:val="none"/>
          <w:bdr w:val="none" w:color="auto" w:sz="0" w:space="0"/>
        </w:rPr>
        <w:t>修订沿革</w:t>
      </w:r>
      <w:r>
        <w:rPr>
          <w:rFonts w:hint="default" w:ascii="Arial" w:hAnsi="Arial" w:eastAsia="新宋体" w:cs="Arial"/>
          <w:color w:val="333333"/>
          <w:kern w:val="0"/>
          <w:sz w:val="18"/>
          <w:szCs w:val="18"/>
          <w:u w:val="none"/>
          <w:bdr w:val="none" w:color="auto" w:sz="0" w:space="0"/>
          <w:lang w:val="en-US" w:eastAsia="zh-CN" w:bidi="ar"/>
        </w:rPr>
        <w:fldChar w:fldCharType="end"/>
      </w:r>
      <w:r>
        <w:rPr>
          <w:rFonts w:hint="default" w:ascii="Arial" w:hAnsi="Arial" w:eastAsia="新宋体" w:cs="Arial"/>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第三十九条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本办法施行前已经取得勘查许可证的，由国务院地质矿产主管部门统一组织换领新的勘查许可证。探矿权使用费、最低勘查投入按照重新登记后的第一个勘查年度计算，并可以依照本办法的规定申请减缴、免缴。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"https://www.lawxp.com/wl/statuteInfo/Provision.aspx?iid=1000074687"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第四十条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本办法附录的修改，由国务院地质矿产主管部门报国务院批准后公布。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default" w:ascii="Arial" w:hAnsi="Arial" w:eastAsia="新宋体" w:cs="Arial"/>
          <w:vanish/>
          <w:color w:val="8A8A8A"/>
          <w:sz w:val="18"/>
          <w:szCs w:val="18"/>
        </w:rPr>
      </w:pP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FF0000"/>
          <w:kern w:val="0"/>
          <w:sz w:val="18"/>
          <w:szCs w:val="18"/>
          <w:bdr w:val="none" w:color="auto" w:sz="0" w:space="0"/>
          <w:lang w:val="en-US" w:eastAsia="zh-CN" w:bidi="ar"/>
        </w:rPr>
        <w:t>相关资料：</w:t>
      </w:r>
      <w:r>
        <w:rPr>
          <w:rFonts w:hint="default" w:ascii="Arial" w:hAnsi="Arial" w:eastAsia="新宋体" w:cs="Arial"/>
          <w:vanish/>
          <w:color w:val="8A8A8A"/>
          <w:kern w:val="0"/>
          <w:sz w:val="18"/>
          <w:szCs w:val="18"/>
          <w:bdr w:val="none" w:color="auto" w:sz="0" w:space="0"/>
          <w:lang w:val="en-US" w:eastAsia="zh-CN" w:bidi="ar"/>
        </w:rPr>
        <w:t xml:space="preserve"> </w:t>
      </w:r>
      <w:r>
        <w:rPr>
          <w:rFonts w:hint="default" w:ascii="Arial" w:hAnsi="Arial" w:eastAsia="新宋体" w:cs="Arial"/>
          <w:vanish/>
          <w:color w:val="333333"/>
          <w:kern w:val="0"/>
          <w:sz w:val="18"/>
          <w:szCs w:val="18"/>
          <w:u w:val="none"/>
          <w:bdr w:val="none" w:color="auto" w:sz="0" w:space="0"/>
          <w:lang w:val="en-US" w:eastAsia="zh-CN" w:bidi="ar"/>
        </w:rPr>
        <w:fldChar w:fldCharType="begin"/>
      </w:r>
      <w:r>
        <w:rPr>
          <w:rFonts w:hint="default" w:ascii="Arial" w:hAnsi="Arial" w:eastAsia="新宋体" w:cs="Arial"/>
          <w:vanish/>
          <w:color w:val="333333"/>
          <w:kern w:val="0"/>
          <w:sz w:val="18"/>
          <w:szCs w:val="18"/>
          <w:u w:val="none"/>
          <w:bdr w:val="none" w:color="auto" w:sz="0" w:space="0"/>
          <w:lang w:val="en-US" w:eastAsia="zh-CN" w:bidi="ar"/>
        </w:rPr>
        <w:instrText xml:space="preserve"> HYPERLINK "https://www.lawxp.com/wl/statuteInfo/Provision.aspx?iid=1000074688" \t "https://www.lawxp.com/statute/blank" </w:instrText>
      </w:r>
      <w:r>
        <w:rPr>
          <w:rFonts w:hint="default" w:ascii="Arial" w:hAnsi="Arial" w:eastAsia="新宋体" w:cs="Arial"/>
          <w:vanish/>
          <w:color w:val="333333"/>
          <w:kern w:val="0"/>
          <w:sz w:val="18"/>
          <w:szCs w:val="18"/>
          <w:u w:val="none"/>
          <w:bdr w:val="none" w:color="auto" w:sz="0" w:space="0"/>
          <w:lang w:val="en-US" w:eastAsia="zh-CN" w:bidi="ar"/>
        </w:rPr>
        <w:fldChar w:fldCharType="separate"/>
      </w:r>
      <w:r>
        <w:rPr>
          <w:rStyle w:val="7"/>
          <w:rFonts w:hint="default" w:ascii="Arial" w:hAnsi="Arial" w:eastAsia="新宋体" w:cs="Arial"/>
          <w:vanish/>
          <w:color w:val="333333"/>
          <w:sz w:val="18"/>
          <w:szCs w:val="18"/>
          <w:u w:val="none"/>
          <w:bdr w:val="none" w:color="auto" w:sz="0" w:space="0"/>
        </w:rPr>
        <w:t>修订沿革</w:t>
      </w:r>
      <w:r>
        <w:rPr>
          <w:rFonts w:hint="default" w:ascii="Arial" w:hAnsi="Arial" w:eastAsia="新宋体" w:cs="Arial"/>
          <w:vanish/>
          <w:color w:val="333333"/>
          <w:kern w:val="0"/>
          <w:sz w:val="18"/>
          <w:szCs w:val="18"/>
          <w:u w:val="none"/>
          <w:bdr w:val="none" w:color="auto" w:sz="0" w:space="0"/>
          <w:lang w:val="en-US" w:eastAsia="zh-CN" w:bidi="ar"/>
        </w:rPr>
        <w:fldChar w:fldCharType="end"/>
      </w:r>
      <w:r>
        <w:rPr>
          <w:rFonts w:hint="default" w:ascii="Arial" w:hAnsi="Arial" w:eastAsia="新宋体" w:cs="Arial"/>
          <w:vanish/>
          <w:color w:val="8A8A8A"/>
          <w:kern w:val="0"/>
          <w:sz w:val="18"/>
          <w:szCs w:val="18"/>
          <w:bdr w:val="none" w:color="auto" w:sz="0" w:space="0"/>
          <w:lang w:val="en-US" w:eastAsia="zh-CN" w:bidi="ar"/>
        </w:rPr>
        <w:t xml:space="preserve"> )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b/>
          <w:bCs/>
          <w:color w:val="666666"/>
          <w:sz w:val="21"/>
          <w:szCs w:val="21"/>
        </w:rPr>
        <w:t>第四十一条</w:t>
      </w:r>
      <w:r>
        <w:rPr>
          <w:rFonts w:hint="default" w:ascii="Arial" w:hAnsi="Arial" w:eastAsia="新宋体" w:cs="Arial"/>
          <w:color w:val="666666"/>
          <w:sz w:val="21"/>
          <w:szCs w:val="21"/>
        </w:rPr>
        <w:t xml:space="preserve"> </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本办法自发布之日起施行。１９８７年４月２９日国务院发布的《矿产资源勘查登记管理暂行办法》和１９８７年１２月１６日国务院批准、石油工业部发布的《石油及天然气勘查、开采登记管理暂行办法》同时废止。</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【附录】国务院地质矿产主管部门审批发证矿种目录</w:t>
      </w:r>
    </w:p>
    <w:p>
      <w:pPr>
        <w:pStyle w:val="2"/>
        <w:keepNext w:val="0"/>
        <w:keepLines w:val="0"/>
        <w:widowControl/>
        <w:suppressLineNumbers w:val="0"/>
        <w:spacing w:before="150" w:beforeAutospacing="0" w:after="0" w:afterAutospacing="0" w:line="432" w:lineRule="auto"/>
        <w:ind w:left="0" w:right="0" w:firstLine="420"/>
        <w:rPr>
          <w:color w:val="666666"/>
          <w:sz w:val="21"/>
          <w:szCs w:val="21"/>
        </w:rPr>
      </w:pPr>
      <w:r>
        <w:rPr>
          <w:rFonts w:hint="default" w:ascii="Arial" w:hAnsi="Arial" w:eastAsia="新宋体" w:cs="Arial"/>
          <w:color w:val="666666"/>
          <w:sz w:val="21"/>
          <w:szCs w:val="21"/>
        </w:rPr>
        <w:t>１煤</w:t>
      </w:r>
      <w:bookmarkStart w:id="0" w:name="_GoBack"/>
      <w:bookmarkEnd w:id="0"/>
      <w:r>
        <w:rPr>
          <w:rFonts w:hint="default" w:ascii="Arial" w:hAnsi="Arial" w:eastAsia="新宋体" w:cs="Arial"/>
          <w:color w:val="666666"/>
          <w:sz w:val="21"/>
          <w:szCs w:val="21"/>
        </w:rPr>
        <w:t>２石油３油页岩４烃类天然气５二氧化碳气６煤成（层）气７地热８放射性矿产９金１０银１１铂１２锰１３铬１４钴１５铁１６铜１７铅１８锌１９铝２０镍２１钨２２锡２３锑２４钼２５稀土２６磷２７钾２８硫２９锶３０金刚石３１铌３２钽３３石棉３４矿泉水</w:t>
      </w:r>
    </w:p>
    <w:p>
      <w:pPr>
        <w:pStyle w:val="2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60" w:firstLineChars="200"/>
        <w:jc w:val="both"/>
        <w:rPr>
          <w:rFonts w:hint="eastAsia" w:ascii="宋体" w:hAnsi="宋体" w:eastAsia="宋体" w:cs="宋体"/>
          <w:color w:val="000000" w:themeColor="text1"/>
          <w:kern w:val="0"/>
          <w:sz w:val="28"/>
          <w:szCs w:val="28"/>
          <w:bdr w:val="none" w:color="auto" w:sz="0" w:space="0"/>
          <w:lang w:val="en-US" w:eastAsia="zh-CN" w:bidi="ar"/>
          <w14:textFill>
            <w14:solidFill>
              <w14:schemeClr w14:val="tx1"/>
            </w14:solidFill>
          </w14:textFill>
        </w:rPr>
      </w:pPr>
    </w:p>
    <w:p>
      <w:pPr>
        <w:pStyle w:val="2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窗体底端</w:t>
      </w:r>
    </w:p>
    <w:p>
      <w:pPr>
        <w:rPr>
          <w:rFonts w:hint="eastAsia" w:ascii="宋体" w:hAnsi="宋体" w:eastAsia="宋体" w:cs="宋体"/>
          <w:color w:val="000000" w:themeColor="text1"/>
          <w:sz w:val="28"/>
          <w:szCs w:val="28"/>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ayui-ico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F80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333333"/>
      <w:u w:val="none"/>
      <w:bdr w:val="none" w:color="auto" w:sz="0" w:space="0"/>
    </w:rPr>
  </w:style>
  <w:style w:type="character" w:styleId="6">
    <w:name w:val="Emphasis"/>
    <w:basedOn w:val="4"/>
    <w:qFormat/>
    <w:uiPriority w:val="0"/>
    <w:rPr>
      <w:i/>
      <w:bdr w:val="none" w:color="auto" w:sz="0" w:space="0"/>
    </w:rPr>
  </w:style>
  <w:style w:type="character" w:styleId="7">
    <w:name w:val="Hyperlink"/>
    <w:basedOn w:val="4"/>
    <w:uiPriority w:val="0"/>
    <w:rPr>
      <w:color w:val="333333"/>
      <w:u w:val="none"/>
      <w:bdr w:val="none" w:color="auto" w:sz="0" w:space="0"/>
    </w:rPr>
  </w:style>
  <w:style w:type="character" w:customStyle="1" w:styleId="8">
    <w:name w:val="rong_zi2"/>
    <w:basedOn w:val="4"/>
    <w:uiPriority w:val="0"/>
  </w:style>
  <w:style w:type="character" w:customStyle="1" w:styleId="9">
    <w:name w:val="mylnr-jj2"/>
    <w:basedOn w:val="4"/>
    <w:uiPriority w:val="0"/>
  </w:style>
  <w:style w:type="character" w:customStyle="1" w:styleId="10">
    <w:name w:val="xfg-fxjh"/>
    <w:basedOn w:val="4"/>
    <w:uiPriority w:val="0"/>
  </w:style>
  <w:style w:type="character" w:customStyle="1" w:styleId="11">
    <w:name w:val="xfg-fxdb"/>
    <w:basedOn w:val="4"/>
    <w:uiPriority w:val="0"/>
  </w:style>
  <w:style w:type="character" w:customStyle="1" w:styleId="12">
    <w:name w:val="w-zx-nr-tj-bt"/>
    <w:basedOn w:val="4"/>
    <w:uiPriority w:val="0"/>
  </w:style>
  <w:style w:type="character" w:customStyle="1" w:styleId="13">
    <w:name w:val="mylnr-pdf"/>
    <w:basedOn w:val="4"/>
    <w:uiPriority w:val="0"/>
  </w:style>
  <w:style w:type="character" w:customStyle="1" w:styleId="14">
    <w:name w:val="mylnr-dayin1"/>
    <w:basedOn w:val="4"/>
    <w:uiPriority w:val="0"/>
  </w:style>
  <w:style w:type="character" w:customStyle="1" w:styleId="15">
    <w:name w:val="xfg-fxsina"/>
    <w:basedOn w:val="4"/>
    <w:uiPriority w:val="0"/>
  </w:style>
  <w:style w:type="character" w:customStyle="1" w:styleId="16">
    <w:name w:val="layui-laypage-curr"/>
    <w:basedOn w:val="4"/>
    <w:uiPriority w:val="0"/>
    <w:rPr>
      <w:bdr w:val="none" w:color="auto" w:sz="0" w:space="0"/>
    </w:rPr>
  </w:style>
  <w:style w:type="character" w:customStyle="1" w:styleId="17">
    <w:name w:val="xfg-fxqq"/>
    <w:basedOn w:val="4"/>
    <w:uiPriority w:val="0"/>
  </w:style>
  <w:style w:type="character" w:customStyle="1" w:styleId="18">
    <w:name w:val="xfg-fxrr"/>
    <w:basedOn w:val="4"/>
    <w:uiPriority w:val="0"/>
  </w:style>
  <w:style w:type="paragraph" w:styleId="19">
    <w:name w:val=""/>
    <w:basedOn w:val="1"/>
    <w:next w:val="1"/>
    <w:uiPriority w:val="0"/>
    <w:pPr>
      <w:pBdr>
        <w:bottom w:val="single" w:color="auto" w:sz="6" w:space="1"/>
      </w:pBdr>
      <w:jc w:val="center"/>
    </w:pPr>
    <w:rPr>
      <w:rFonts w:ascii="Arial" w:eastAsia="宋体"/>
      <w:vanish/>
      <w:sz w:val="16"/>
    </w:rPr>
  </w:style>
  <w:style w:type="paragraph" w:styleId="2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2021-03-31T07:14:38Z</dcterms:created>
  <dc:creator>Administrator</dc:creator>
  <cp:lastModifiedBy>雨露</cp:lastModifiedBy>
  <dcterms:modified xsi:type="dcterms:W3CDTF">2021-03-31T07:18:39Z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7F0C9583E2C24FE08257669A94D1507D</vt:lpwstr>
  </property>
</Properties>
</file>