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after="225" w:afterAutospacing="0" w:line="21" w:lineRule="atLeast"/>
        <w:jc w:val="center"/>
        <w:rPr>
          <w:rFonts w:hint="eastAsia" w:ascii="宋体" w:hAnsi="宋体" w:eastAsia="宋体" w:cs="宋体"/>
          <w:b/>
          <w:bCs/>
          <w:color w:val="000000" w:themeColor="text1"/>
          <w:sz w:val="36"/>
          <w:szCs w:val="36"/>
          <w14:textFill>
            <w14:solidFill>
              <w14:schemeClr w14:val="tx1"/>
            </w14:solidFill>
          </w14:textFill>
        </w:rPr>
      </w:pPr>
      <w:r>
        <w:rPr>
          <w:rFonts w:hint="eastAsia" w:ascii="宋体" w:hAnsi="宋体" w:eastAsia="宋体" w:cs="宋体"/>
          <w:b/>
          <w:bCs/>
          <w:color w:val="000000" w:themeColor="text1"/>
          <w:sz w:val="36"/>
          <w:szCs w:val="36"/>
          <w14:textFill>
            <w14:solidFill>
              <w14:schemeClr w14:val="tx1"/>
            </w14:solidFill>
          </w14:textFill>
        </w:rPr>
        <w:t>指导外商投资方向规定</w:t>
      </w:r>
    </w:p>
    <w:p>
      <w:pPr>
        <w:pStyle w:val="2"/>
        <w:keepNext w:val="0"/>
        <w:keepLines w:val="0"/>
        <w:widowControl/>
        <w:suppressLineNumbers w:val="0"/>
        <w:spacing w:after="225" w:afterAutospacing="0" w:line="21" w:lineRule="atLeast"/>
        <w:ind w:firstLine="560" w:firstLineChars="200"/>
        <w:jc w:val="both"/>
        <w:rPr>
          <w:rFonts w:hint="eastAsia" w:ascii="宋体" w:hAnsi="宋体" w:eastAsia="宋体" w:cs="宋体"/>
          <w:b w:val="0"/>
          <w:bCs w:val="0"/>
          <w:color w:val="000000" w:themeColor="text1"/>
          <w:sz w:val="28"/>
          <w:szCs w:val="28"/>
          <w:lang w:val="en-US" w:eastAsia="zh-CN"/>
          <w14:textFill>
            <w14:solidFill>
              <w14:schemeClr w14:val="tx1"/>
            </w14:solidFill>
          </w14:textFill>
        </w:rPr>
      </w:pPr>
      <w:bookmarkStart w:id="0" w:name="_GoBack"/>
      <w:r>
        <w:rPr>
          <w:rFonts w:hint="eastAsia" w:ascii="宋体" w:hAnsi="宋体" w:eastAsia="宋体" w:cs="宋体"/>
          <w:b w:val="0"/>
          <w:bCs w:val="0"/>
          <w:color w:val="000000" w:themeColor="text1"/>
          <w:sz w:val="28"/>
          <w:szCs w:val="28"/>
          <w:lang w:val="en-US" w:eastAsia="zh-CN"/>
          <w14:textFill>
            <w14:solidFill>
              <w14:schemeClr w14:val="tx1"/>
            </w14:solidFill>
          </w14:textFill>
        </w:rPr>
        <w:t>（2002年2月11日中华人民共和国国务院令第346号公布  自2002年4月1日起施行）</w:t>
      </w:r>
    </w:p>
    <w:p>
      <w:pPr>
        <w:pStyle w:val="2"/>
        <w:keepNext w:val="0"/>
        <w:keepLines w:val="0"/>
        <w:pageBreakBefore w:val="0"/>
        <w:widowControl/>
        <w:suppressLineNumbers w:val="0"/>
        <w:kinsoku/>
        <w:wordWrap/>
        <w:overflowPunct/>
        <w:topLinePunct w:val="0"/>
        <w:autoSpaceDE/>
        <w:autoSpaceDN/>
        <w:bidi w:val="0"/>
        <w:adjustRightInd/>
        <w:snapToGrid/>
        <w:spacing w:after="0" w:afterAutospacing="0" w:line="500" w:lineRule="exact"/>
        <w:jc w:val="both"/>
        <w:textAlignment w:val="auto"/>
        <w:rPr>
          <w:rFonts w:hint="eastAsia" w:ascii="宋体" w:hAnsi="宋体" w:eastAsia="宋体" w:cs="宋体"/>
          <w:sz w:val="28"/>
          <w:szCs w:val="28"/>
        </w:rPr>
      </w:pPr>
      <w:r>
        <w:rPr>
          <w:rFonts w:hint="eastAsia" w:ascii="微软雅黑" w:hAnsi="微软雅黑" w:eastAsia="微软雅黑" w:cs="微软雅黑"/>
          <w:color w:val="333333"/>
          <w:sz w:val="22"/>
          <w:szCs w:val="22"/>
        </w:rPr>
        <w:t>　</w:t>
      </w:r>
      <w:r>
        <w:rPr>
          <w:rFonts w:hint="eastAsia" w:ascii="宋体" w:hAnsi="宋体" w:eastAsia="宋体" w:cs="宋体"/>
          <w:color w:val="333333"/>
          <w:sz w:val="28"/>
          <w:szCs w:val="28"/>
        </w:rPr>
        <w:t>　</w:t>
      </w:r>
      <w:r>
        <w:rPr>
          <w:rFonts w:hint="eastAsia" w:ascii="宋体" w:hAnsi="宋体" w:eastAsia="宋体" w:cs="宋体"/>
          <w:color w:val="333333"/>
          <w:sz w:val="28"/>
          <w:szCs w:val="28"/>
          <w:lang w:val="en-US" w:eastAsia="zh-CN"/>
        </w:rPr>
        <w:t xml:space="preserve"> </w:t>
      </w:r>
      <w:r>
        <w:rPr>
          <w:rFonts w:hint="eastAsia" w:ascii="宋体" w:hAnsi="宋体" w:eastAsia="宋体" w:cs="宋体"/>
          <w:color w:val="333333"/>
          <w:sz w:val="28"/>
          <w:szCs w:val="28"/>
        </w:rPr>
        <w:t>第一条 为了指导外商投资方向，使外商投资方向与我国国民经济和社会发展规划相适应，并有利于保护投资者的合法权益，根据国家有关外商投资的法律规定和产业政策要求，制定本规定。</w:t>
      </w:r>
    </w:p>
    <w:p>
      <w:pPr>
        <w:pStyle w:val="2"/>
        <w:keepNext w:val="0"/>
        <w:keepLines w:val="0"/>
        <w:pageBreakBefore w:val="0"/>
        <w:widowControl/>
        <w:suppressLineNumbers w:val="0"/>
        <w:kinsoku/>
        <w:wordWrap/>
        <w:overflowPunct/>
        <w:topLinePunct w:val="0"/>
        <w:autoSpaceDE/>
        <w:autoSpaceDN/>
        <w:bidi w:val="0"/>
        <w:adjustRightInd/>
        <w:snapToGrid/>
        <w:spacing w:after="0" w:afterAutospacing="0" w:line="500" w:lineRule="exact"/>
        <w:jc w:val="both"/>
        <w:textAlignment w:val="auto"/>
        <w:rPr>
          <w:rFonts w:hint="eastAsia" w:ascii="宋体" w:hAnsi="宋体" w:eastAsia="宋体" w:cs="宋体"/>
          <w:sz w:val="28"/>
          <w:szCs w:val="28"/>
        </w:rPr>
      </w:pPr>
      <w:r>
        <w:rPr>
          <w:rFonts w:hint="eastAsia" w:ascii="宋体" w:hAnsi="宋体" w:eastAsia="宋体" w:cs="宋体"/>
          <w:color w:val="333333"/>
          <w:sz w:val="28"/>
          <w:szCs w:val="28"/>
        </w:rPr>
        <w:t>　　第二条 本规定适用于在我国境内投资举办中外合资经营企业、中外合作经营企业和外资企业（以下简称外商投资企业）的项目以及其他形式的外商投资项目（以下简称外商投资项目）。</w:t>
      </w:r>
    </w:p>
    <w:p>
      <w:pPr>
        <w:pStyle w:val="2"/>
        <w:keepNext w:val="0"/>
        <w:keepLines w:val="0"/>
        <w:pageBreakBefore w:val="0"/>
        <w:widowControl/>
        <w:suppressLineNumbers w:val="0"/>
        <w:kinsoku/>
        <w:wordWrap/>
        <w:overflowPunct/>
        <w:topLinePunct w:val="0"/>
        <w:autoSpaceDE/>
        <w:autoSpaceDN/>
        <w:bidi w:val="0"/>
        <w:adjustRightInd/>
        <w:snapToGrid/>
        <w:spacing w:after="0" w:afterAutospacing="0" w:line="500" w:lineRule="exact"/>
        <w:jc w:val="both"/>
        <w:textAlignment w:val="auto"/>
        <w:rPr>
          <w:rFonts w:hint="eastAsia" w:ascii="宋体" w:hAnsi="宋体" w:eastAsia="宋体" w:cs="宋体"/>
          <w:sz w:val="28"/>
          <w:szCs w:val="28"/>
        </w:rPr>
      </w:pPr>
      <w:r>
        <w:rPr>
          <w:rFonts w:hint="eastAsia" w:ascii="宋体" w:hAnsi="宋体" w:eastAsia="宋体" w:cs="宋体"/>
          <w:color w:val="333333"/>
          <w:sz w:val="28"/>
          <w:szCs w:val="28"/>
        </w:rPr>
        <w:t>　　第三条《外商投资产业指导目录》和《中西部地区外商投资优势产业目录》由国家发展计划委员会、国家经济贸易委员会、对外贸易经济合作部会同国务院有关部门制订，经国务院批准后公布；根据实际情况，需要对《外商投资产业指导目录》和《中西部地区外商投资优势产业目录》进行部分调整时，由国家经济贸易委员会、国家发展计划委员会、对外贸易经济合作部会同国务院有关部门适时修订并公布。</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《外商投资产业指导目录》和《中西部地区外商投资优势产业目录》是指导审批外商投资项目和外商投资企业适用有关政策的依据。</w:t>
      </w:r>
    </w:p>
    <w:p>
      <w:pPr>
        <w:pStyle w:val="2"/>
        <w:keepNext w:val="0"/>
        <w:keepLines w:val="0"/>
        <w:pageBreakBefore w:val="0"/>
        <w:widowControl/>
        <w:suppressLineNumbers w:val="0"/>
        <w:kinsoku/>
        <w:wordWrap/>
        <w:overflowPunct/>
        <w:topLinePunct w:val="0"/>
        <w:autoSpaceDE/>
        <w:autoSpaceDN/>
        <w:bidi w:val="0"/>
        <w:adjustRightInd/>
        <w:snapToGrid/>
        <w:spacing w:after="0" w:afterAutospacing="0" w:line="500" w:lineRule="exact"/>
        <w:jc w:val="both"/>
        <w:textAlignment w:val="auto"/>
        <w:rPr>
          <w:rFonts w:hint="eastAsia" w:ascii="宋体" w:hAnsi="宋体" w:eastAsia="宋体" w:cs="宋体"/>
          <w:sz w:val="28"/>
          <w:szCs w:val="28"/>
        </w:rPr>
      </w:pPr>
      <w:r>
        <w:rPr>
          <w:rFonts w:hint="eastAsia" w:ascii="宋体" w:hAnsi="宋体" w:eastAsia="宋体" w:cs="宋体"/>
          <w:color w:val="333333"/>
          <w:sz w:val="28"/>
          <w:szCs w:val="28"/>
        </w:rPr>
        <w:t>　　第四条 外商投资项目分为鼓励、允许、限制和禁止四类。</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鼓励类、限制类和禁止类的外商投资项目，列入《外商投资产业指导目录》。不属于鼓励类、限制类和禁止类的外商投资项目，为允许类外商投资项目。允许类外商投资项目不列入《外商投资产业指导目录》。</w:t>
      </w:r>
    </w:p>
    <w:p>
      <w:pPr>
        <w:pStyle w:val="2"/>
        <w:keepNext w:val="0"/>
        <w:keepLines w:val="0"/>
        <w:pageBreakBefore w:val="0"/>
        <w:widowControl/>
        <w:suppressLineNumbers w:val="0"/>
        <w:kinsoku/>
        <w:wordWrap/>
        <w:overflowPunct/>
        <w:topLinePunct w:val="0"/>
        <w:autoSpaceDE/>
        <w:autoSpaceDN/>
        <w:bidi w:val="0"/>
        <w:adjustRightInd/>
        <w:snapToGrid/>
        <w:spacing w:after="0" w:afterAutospacing="0" w:line="500" w:lineRule="exact"/>
        <w:jc w:val="both"/>
        <w:textAlignment w:val="auto"/>
        <w:rPr>
          <w:rFonts w:hint="eastAsia" w:ascii="宋体" w:hAnsi="宋体" w:eastAsia="宋体" w:cs="宋体"/>
          <w:sz w:val="28"/>
          <w:szCs w:val="28"/>
        </w:rPr>
      </w:pPr>
      <w:r>
        <w:rPr>
          <w:rFonts w:hint="eastAsia" w:ascii="宋体" w:hAnsi="宋体" w:eastAsia="宋体" w:cs="宋体"/>
          <w:color w:val="333333"/>
          <w:sz w:val="28"/>
          <w:szCs w:val="28"/>
        </w:rPr>
        <w:t>　　第五条 属于下列情形之一的，列为鼓励类外商投资项目：</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（一）属于农业新技术、农业综合开发和能源、交通、重要原材料工业的；</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（二）属于高新技术、先进适用技术，能够改进产品性能、提高企业技术经济效益或者生产国内生产能力不足的新设备、新材料的；</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（三）适应市场需求，能够提高产品档次、开拓新兴市场或者增加产品国际竞争能力的；</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（四）属于新技术、新设备，能够节约能源和原材料、综合利用资源和再生资源以及防治环境污染的；</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（五）能够发挥中西部地区的人力和资源优势，并符合国家产业政策的；</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（六）法律、行政法规规定的其他情形。</w:t>
      </w:r>
    </w:p>
    <w:p>
      <w:pPr>
        <w:pStyle w:val="2"/>
        <w:keepNext w:val="0"/>
        <w:keepLines w:val="0"/>
        <w:pageBreakBefore w:val="0"/>
        <w:widowControl/>
        <w:suppressLineNumbers w:val="0"/>
        <w:kinsoku/>
        <w:wordWrap/>
        <w:overflowPunct/>
        <w:topLinePunct w:val="0"/>
        <w:autoSpaceDE/>
        <w:autoSpaceDN/>
        <w:bidi w:val="0"/>
        <w:adjustRightInd/>
        <w:snapToGrid/>
        <w:spacing w:after="0" w:afterAutospacing="0" w:line="500" w:lineRule="exact"/>
        <w:jc w:val="both"/>
        <w:textAlignment w:val="auto"/>
        <w:rPr>
          <w:rFonts w:hint="eastAsia" w:ascii="宋体" w:hAnsi="宋体" w:eastAsia="宋体" w:cs="宋体"/>
          <w:sz w:val="28"/>
          <w:szCs w:val="28"/>
        </w:rPr>
      </w:pPr>
      <w:r>
        <w:rPr>
          <w:rFonts w:hint="eastAsia" w:ascii="宋体" w:hAnsi="宋体" w:eastAsia="宋体" w:cs="宋体"/>
          <w:color w:val="333333"/>
          <w:sz w:val="28"/>
          <w:szCs w:val="28"/>
        </w:rPr>
        <w:t>　　第六条 属于下列情形之一的，列为限制类外商投资项目：</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（一）技术水平落后的；</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（二）不利于节约资源和改善生态环境的；</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（三）从事国家规定实行保护性开采的特定矿种勘探、开采的；</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（四）属于国家逐步开放的产业的；</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（五）法律、行政法规规定的其他情形。</w:t>
      </w:r>
    </w:p>
    <w:p>
      <w:pPr>
        <w:pStyle w:val="2"/>
        <w:keepNext w:val="0"/>
        <w:keepLines w:val="0"/>
        <w:pageBreakBefore w:val="0"/>
        <w:widowControl/>
        <w:suppressLineNumbers w:val="0"/>
        <w:kinsoku/>
        <w:wordWrap/>
        <w:overflowPunct/>
        <w:topLinePunct w:val="0"/>
        <w:autoSpaceDE/>
        <w:autoSpaceDN/>
        <w:bidi w:val="0"/>
        <w:adjustRightInd/>
        <w:snapToGrid/>
        <w:spacing w:after="0" w:afterAutospacing="0" w:line="500" w:lineRule="exact"/>
        <w:jc w:val="both"/>
        <w:textAlignment w:val="auto"/>
        <w:rPr>
          <w:rFonts w:hint="eastAsia" w:ascii="宋体" w:hAnsi="宋体" w:eastAsia="宋体" w:cs="宋体"/>
          <w:sz w:val="28"/>
          <w:szCs w:val="28"/>
        </w:rPr>
      </w:pPr>
      <w:r>
        <w:rPr>
          <w:rFonts w:hint="eastAsia" w:ascii="宋体" w:hAnsi="宋体" w:eastAsia="宋体" w:cs="宋体"/>
          <w:color w:val="333333"/>
          <w:sz w:val="28"/>
          <w:szCs w:val="28"/>
        </w:rPr>
        <w:t>　　第七条 属于下列情形之一的，列为禁止类外商投资项目：</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（一）危害国家安全或者损害社会公共利益的；</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（二）对环境造成污染损害，破坏自然资源或者损害人体健康的；</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（三）占用大量耕地，不利于保护、开发土地资源的；</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（四）危害军事设施安全和使用效能的；</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（五）运用我国特有工艺或者技术生产产品的；</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（六）法律、行政法规规定的其他情形。</w:t>
      </w:r>
    </w:p>
    <w:p>
      <w:pPr>
        <w:pStyle w:val="2"/>
        <w:keepNext w:val="0"/>
        <w:keepLines w:val="0"/>
        <w:pageBreakBefore w:val="0"/>
        <w:widowControl/>
        <w:suppressLineNumbers w:val="0"/>
        <w:kinsoku/>
        <w:wordWrap/>
        <w:overflowPunct/>
        <w:topLinePunct w:val="0"/>
        <w:autoSpaceDE/>
        <w:autoSpaceDN/>
        <w:bidi w:val="0"/>
        <w:adjustRightInd/>
        <w:snapToGrid/>
        <w:spacing w:after="0" w:afterAutospacing="0" w:line="500" w:lineRule="exact"/>
        <w:jc w:val="both"/>
        <w:textAlignment w:val="auto"/>
        <w:rPr>
          <w:rFonts w:hint="eastAsia" w:ascii="宋体" w:hAnsi="宋体" w:eastAsia="宋体" w:cs="宋体"/>
          <w:sz w:val="28"/>
          <w:szCs w:val="28"/>
        </w:rPr>
      </w:pPr>
      <w:r>
        <w:rPr>
          <w:rFonts w:hint="eastAsia" w:ascii="宋体" w:hAnsi="宋体" w:eastAsia="宋体" w:cs="宋体"/>
          <w:color w:val="333333"/>
          <w:sz w:val="28"/>
          <w:szCs w:val="28"/>
        </w:rPr>
        <w:t>　　第八条 《外商投资产业指导目录》可以对外商投资项目规定“限于合资、合作”、“中方控股”或者“中方相对控股”。</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限于合资、合作，是指仅允许中外合资经营、中外合作经营；中方控股，是指中方投资者在外商投资项目中的投资比例之和为51％及以上；中方相对控股，是指中方投资者在外商投资项目中的投资比例之和大于任何一方外国投资者的投资比例。</w:t>
      </w:r>
    </w:p>
    <w:p>
      <w:pPr>
        <w:pStyle w:val="2"/>
        <w:keepNext w:val="0"/>
        <w:keepLines w:val="0"/>
        <w:pageBreakBefore w:val="0"/>
        <w:widowControl/>
        <w:suppressLineNumbers w:val="0"/>
        <w:kinsoku/>
        <w:wordWrap/>
        <w:overflowPunct/>
        <w:topLinePunct w:val="0"/>
        <w:autoSpaceDE/>
        <w:autoSpaceDN/>
        <w:bidi w:val="0"/>
        <w:adjustRightInd/>
        <w:snapToGrid/>
        <w:spacing w:after="0" w:afterAutospacing="0" w:line="500" w:lineRule="exact"/>
        <w:jc w:val="both"/>
        <w:textAlignment w:val="auto"/>
        <w:rPr>
          <w:rFonts w:hint="eastAsia" w:ascii="宋体" w:hAnsi="宋体" w:eastAsia="宋体" w:cs="宋体"/>
          <w:sz w:val="28"/>
          <w:szCs w:val="28"/>
        </w:rPr>
      </w:pPr>
      <w:r>
        <w:rPr>
          <w:rFonts w:hint="eastAsia" w:ascii="宋体" w:hAnsi="宋体" w:eastAsia="宋体" w:cs="宋体"/>
          <w:color w:val="333333"/>
          <w:sz w:val="28"/>
          <w:szCs w:val="28"/>
        </w:rPr>
        <w:t>　　第九条 鼓励类外商投资项目，除依照有关法律、行政法规的规定享受优惠待遇外，从事投资额大、回收期长的能源、交通、城市基础设施（煤炭、石油、天然气、电力、铁路、公路、港口、机场、城市道路、污水处理、垃圾处理等）建设、经营的，经批准，可以扩大与其相关的经营范围。</w:t>
      </w:r>
    </w:p>
    <w:p>
      <w:pPr>
        <w:pStyle w:val="2"/>
        <w:keepNext w:val="0"/>
        <w:keepLines w:val="0"/>
        <w:pageBreakBefore w:val="0"/>
        <w:widowControl/>
        <w:suppressLineNumbers w:val="0"/>
        <w:kinsoku/>
        <w:wordWrap/>
        <w:overflowPunct/>
        <w:topLinePunct w:val="0"/>
        <w:autoSpaceDE/>
        <w:autoSpaceDN/>
        <w:bidi w:val="0"/>
        <w:adjustRightInd/>
        <w:snapToGrid/>
        <w:spacing w:after="0" w:afterAutospacing="0" w:line="500" w:lineRule="exact"/>
        <w:jc w:val="both"/>
        <w:textAlignment w:val="auto"/>
        <w:rPr>
          <w:rFonts w:hint="eastAsia" w:ascii="宋体" w:hAnsi="宋体" w:eastAsia="宋体" w:cs="宋体"/>
          <w:sz w:val="28"/>
          <w:szCs w:val="28"/>
        </w:rPr>
      </w:pPr>
      <w:r>
        <w:rPr>
          <w:rFonts w:hint="eastAsia" w:ascii="宋体" w:hAnsi="宋体" w:eastAsia="宋体" w:cs="宋体"/>
          <w:color w:val="333333"/>
          <w:sz w:val="28"/>
          <w:szCs w:val="28"/>
        </w:rPr>
        <w:t>　　第十条 产品全部直接出口的允许类外商投资项目，视为鼓励类外商投资项目；产品出口销售额占其产品销售总额70％以上的限制类外商投资项目，经省、自治区、直辖市及计划单列市人民政府或者国务院主管部门批准，可以视为允许类外商投资项目。</w:t>
      </w:r>
    </w:p>
    <w:p>
      <w:pPr>
        <w:pStyle w:val="2"/>
        <w:keepNext w:val="0"/>
        <w:keepLines w:val="0"/>
        <w:pageBreakBefore w:val="0"/>
        <w:widowControl/>
        <w:suppressLineNumbers w:val="0"/>
        <w:kinsoku/>
        <w:wordWrap/>
        <w:overflowPunct/>
        <w:topLinePunct w:val="0"/>
        <w:autoSpaceDE/>
        <w:autoSpaceDN/>
        <w:bidi w:val="0"/>
        <w:adjustRightInd/>
        <w:snapToGrid/>
        <w:spacing w:after="0" w:afterAutospacing="0" w:line="500" w:lineRule="exact"/>
        <w:jc w:val="both"/>
        <w:textAlignment w:val="auto"/>
        <w:rPr>
          <w:rFonts w:hint="eastAsia" w:ascii="宋体" w:hAnsi="宋体" w:eastAsia="宋体" w:cs="宋体"/>
          <w:sz w:val="28"/>
          <w:szCs w:val="28"/>
        </w:rPr>
      </w:pPr>
      <w:r>
        <w:rPr>
          <w:rFonts w:hint="eastAsia" w:ascii="宋体" w:hAnsi="宋体" w:eastAsia="宋体" w:cs="宋体"/>
          <w:color w:val="333333"/>
          <w:sz w:val="28"/>
          <w:szCs w:val="28"/>
        </w:rPr>
        <w:t>　　第十一条 对于确能发挥中西部地区优势的允许类和限制类外商投资项目，可以适当放宽条件；其中，列入《中西部地区外商投资优势产业目录》的，可以享受鼓励类外商投资项目优惠政策。</w:t>
      </w:r>
    </w:p>
    <w:p>
      <w:pPr>
        <w:pStyle w:val="2"/>
        <w:keepNext w:val="0"/>
        <w:keepLines w:val="0"/>
        <w:pageBreakBefore w:val="0"/>
        <w:widowControl/>
        <w:suppressLineNumbers w:val="0"/>
        <w:kinsoku/>
        <w:wordWrap/>
        <w:overflowPunct/>
        <w:topLinePunct w:val="0"/>
        <w:autoSpaceDE/>
        <w:autoSpaceDN/>
        <w:bidi w:val="0"/>
        <w:adjustRightInd/>
        <w:snapToGrid/>
        <w:spacing w:after="0" w:afterAutospacing="0" w:line="500" w:lineRule="exact"/>
        <w:jc w:val="both"/>
        <w:textAlignment w:val="auto"/>
        <w:rPr>
          <w:rFonts w:hint="eastAsia" w:ascii="宋体" w:hAnsi="宋体" w:eastAsia="宋体" w:cs="宋体"/>
          <w:sz w:val="28"/>
          <w:szCs w:val="28"/>
        </w:rPr>
      </w:pPr>
      <w:r>
        <w:rPr>
          <w:rFonts w:hint="eastAsia" w:ascii="宋体" w:hAnsi="宋体" w:eastAsia="宋体" w:cs="宋体"/>
          <w:color w:val="333333"/>
          <w:sz w:val="28"/>
          <w:szCs w:val="28"/>
        </w:rPr>
        <w:t>　　第十二条根据现行审批权限，外商投资项目按照项目性质分别由发展计划部门和经贸部门审批、备案；外商投资企业的合同、章程由外经贸部门审批、备案。其中，限制类限额以下的外商投资项目由省、自治区、直辖市及计划单列市人民政府的相应主管部门审批，同时报上级主管部门和行业主管部门备案，此类项目的审批权不得下放。属于服务贸易领域逐步开放的外商投资项目，按照国家有关规定审批。</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涉及配额、许可证的外商投资项目，须先向外经贸部门申请配额、许可证。</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法律、行政法规对外商投资项目的审批程序和办法另有规定的，依照其规定。</w:t>
      </w:r>
    </w:p>
    <w:p>
      <w:pPr>
        <w:pStyle w:val="2"/>
        <w:keepNext w:val="0"/>
        <w:keepLines w:val="0"/>
        <w:pageBreakBefore w:val="0"/>
        <w:widowControl/>
        <w:suppressLineNumbers w:val="0"/>
        <w:kinsoku/>
        <w:wordWrap/>
        <w:overflowPunct/>
        <w:topLinePunct w:val="0"/>
        <w:autoSpaceDE/>
        <w:autoSpaceDN/>
        <w:bidi w:val="0"/>
        <w:adjustRightInd/>
        <w:snapToGrid/>
        <w:spacing w:after="0" w:afterAutospacing="0" w:line="500" w:lineRule="exact"/>
        <w:jc w:val="both"/>
        <w:textAlignment w:val="auto"/>
        <w:rPr>
          <w:rFonts w:hint="eastAsia" w:ascii="宋体" w:hAnsi="宋体" w:eastAsia="宋体" w:cs="宋体"/>
          <w:sz w:val="28"/>
          <w:szCs w:val="28"/>
        </w:rPr>
      </w:pPr>
      <w:r>
        <w:rPr>
          <w:rFonts w:hint="eastAsia" w:ascii="宋体" w:hAnsi="宋体" w:eastAsia="宋体" w:cs="宋体"/>
          <w:color w:val="333333"/>
          <w:sz w:val="28"/>
          <w:szCs w:val="28"/>
        </w:rPr>
        <w:t>　　第十三条 对违反本规定审批的外商投资项目，上级审批机关应当自收到该项目的备案文件之日起30个工作日内予以撤销，其合同、章程无效，企业登记机关不予注册登记，海关不予办理进出口手续。</w:t>
      </w:r>
    </w:p>
    <w:p>
      <w:pPr>
        <w:pStyle w:val="2"/>
        <w:keepNext w:val="0"/>
        <w:keepLines w:val="0"/>
        <w:pageBreakBefore w:val="0"/>
        <w:widowControl/>
        <w:suppressLineNumbers w:val="0"/>
        <w:kinsoku/>
        <w:wordWrap/>
        <w:overflowPunct/>
        <w:topLinePunct w:val="0"/>
        <w:autoSpaceDE/>
        <w:autoSpaceDN/>
        <w:bidi w:val="0"/>
        <w:adjustRightInd/>
        <w:snapToGrid/>
        <w:spacing w:after="0" w:afterAutospacing="0" w:line="500" w:lineRule="exact"/>
        <w:jc w:val="both"/>
        <w:textAlignment w:val="auto"/>
        <w:rPr>
          <w:rFonts w:hint="eastAsia" w:ascii="宋体" w:hAnsi="宋体" w:eastAsia="宋体" w:cs="宋体"/>
          <w:sz w:val="28"/>
          <w:szCs w:val="28"/>
        </w:rPr>
      </w:pPr>
      <w:r>
        <w:rPr>
          <w:rFonts w:hint="eastAsia" w:ascii="宋体" w:hAnsi="宋体" w:eastAsia="宋体" w:cs="宋体"/>
          <w:color w:val="333333"/>
          <w:sz w:val="28"/>
          <w:szCs w:val="28"/>
        </w:rPr>
        <w:t>　　第十四条 外商投资项目申请人以欺骗等不正当手段，骗取项目批准的，根据情节轻重，依法追究法律责任；审批机关应当撤销对该项目的批准，并由有关主管机关依法作出相应的处理。</w:t>
      </w:r>
    </w:p>
    <w:p>
      <w:pPr>
        <w:pStyle w:val="2"/>
        <w:keepNext w:val="0"/>
        <w:keepLines w:val="0"/>
        <w:pageBreakBefore w:val="0"/>
        <w:widowControl/>
        <w:suppressLineNumbers w:val="0"/>
        <w:kinsoku/>
        <w:wordWrap/>
        <w:overflowPunct/>
        <w:topLinePunct w:val="0"/>
        <w:autoSpaceDE/>
        <w:autoSpaceDN/>
        <w:bidi w:val="0"/>
        <w:adjustRightInd/>
        <w:snapToGrid/>
        <w:spacing w:after="0" w:afterAutospacing="0" w:line="500" w:lineRule="exact"/>
        <w:jc w:val="both"/>
        <w:textAlignment w:val="auto"/>
        <w:rPr>
          <w:rFonts w:hint="eastAsia" w:ascii="宋体" w:hAnsi="宋体" w:eastAsia="宋体" w:cs="宋体"/>
          <w:sz w:val="28"/>
          <w:szCs w:val="28"/>
        </w:rPr>
      </w:pPr>
      <w:r>
        <w:rPr>
          <w:rFonts w:hint="eastAsia" w:ascii="宋体" w:hAnsi="宋体" w:eastAsia="宋体" w:cs="宋体"/>
          <w:color w:val="333333"/>
          <w:sz w:val="28"/>
          <w:szCs w:val="28"/>
        </w:rPr>
        <w:t>　　第十五条 审批机关工作人员滥用职权、玩忽职守的，依照刑法关于滥用职权罪、玩忽职守罪的规定，依法追究刑事责任；尚不够刑事处罚的，依法给予记大过以上的行政处分。</w:t>
      </w:r>
    </w:p>
    <w:p>
      <w:pPr>
        <w:pStyle w:val="2"/>
        <w:keepNext w:val="0"/>
        <w:keepLines w:val="0"/>
        <w:pageBreakBefore w:val="0"/>
        <w:widowControl/>
        <w:suppressLineNumbers w:val="0"/>
        <w:kinsoku/>
        <w:wordWrap/>
        <w:overflowPunct/>
        <w:topLinePunct w:val="0"/>
        <w:autoSpaceDE/>
        <w:autoSpaceDN/>
        <w:bidi w:val="0"/>
        <w:adjustRightInd/>
        <w:snapToGrid/>
        <w:spacing w:after="0" w:afterAutospacing="0" w:line="500" w:lineRule="exact"/>
        <w:jc w:val="both"/>
        <w:textAlignment w:val="auto"/>
        <w:rPr>
          <w:rFonts w:hint="eastAsia" w:ascii="宋体" w:hAnsi="宋体" w:eastAsia="宋体" w:cs="宋体"/>
          <w:sz w:val="28"/>
          <w:szCs w:val="28"/>
        </w:rPr>
      </w:pPr>
      <w:r>
        <w:rPr>
          <w:rFonts w:hint="eastAsia" w:ascii="宋体" w:hAnsi="宋体" w:eastAsia="宋体" w:cs="宋体"/>
          <w:color w:val="333333"/>
          <w:sz w:val="28"/>
          <w:szCs w:val="28"/>
        </w:rPr>
        <w:t>　　第十六条 华侨和香港特别行政区、澳门特别行政区、台湾地区的投资者举办的投资项目，比照本规定执行。</w:t>
      </w:r>
    </w:p>
    <w:p>
      <w:pPr>
        <w:pStyle w:val="2"/>
        <w:keepNext w:val="0"/>
        <w:keepLines w:val="0"/>
        <w:pageBreakBefore w:val="0"/>
        <w:widowControl/>
        <w:suppressLineNumbers w:val="0"/>
        <w:kinsoku/>
        <w:wordWrap/>
        <w:overflowPunct/>
        <w:topLinePunct w:val="0"/>
        <w:autoSpaceDE/>
        <w:autoSpaceDN/>
        <w:bidi w:val="0"/>
        <w:adjustRightInd/>
        <w:snapToGrid/>
        <w:spacing w:after="0" w:afterAutospacing="0" w:line="500" w:lineRule="exact"/>
        <w:jc w:val="both"/>
        <w:textAlignment w:val="auto"/>
        <w:rPr>
          <w:rFonts w:hint="eastAsia" w:ascii="宋体" w:hAnsi="宋体" w:eastAsia="宋体" w:cs="宋体"/>
          <w:sz w:val="28"/>
          <w:szCs w:val="28"/>
        </w:rPr>
      </w:pPr>
      <w:r>
        <w:rPr>
          <w:rFonts w:hint="eastAsia" w:ascii="宋体" w:hAnsi="宋体" w:eastAsia="宋体" w:cs="宋体"/>
          <w:color w:val="333333"/>
          <w:sz w:val="28"/>
          <w:szCs w:val="28"/>
        </w:rPr>
        <w:t>　　第十七条 本规定自2002年4月1日起施行。1995年6月7日国务院批准，1995年6月20日国家计划委员会、国家经济贸易委员会、对外贸易经济合作部发布的《指导外商投资方向暂行规定》同时废止。</w:t>
      </w:r>
    </w:p>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Glyphicons Halflings">
    <w:altName w:val="Segoe Print"/>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5745541"/>
    <w:rsid w:val="7F836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5">
    <w:name w:val="Strong"/>
    <w:basedOn w:val="4"/>
    <w:qFormat/>
    <w:uiPriority w:val="0"/>
    <w:rPr>
      <w:b/>
      <w:bCs/>
    </w:rPr>
  </w:style>
  <w:style w:type="character" w:styleId="6">
    <w:name w:val="FollowedHyperlink"/>
    <w:basedOn w:val="4"/>
    <w:uiPriority w:val="0"/>
    <w:rPr>
      <w:color w:val="000000"/>
      <w:u w:val="none"/>
    </w:rPr>
  </w:style>
  <w:style w:type="character" w:styleId="7">
    <w:name w:val="Emphasis"/>
    <w:basedOn w:val="4"/>
    <w:qFormat/>
    <w:uiPriority w:val="0"/>
  </w:style>
  <w:style w:type="character" w:styleId="8">
    <w:name w:val="HTML Definition"/>
    <w:basedOn w:val="4"/>
    <w:uiPriority w:val="0"/>
  </w:style>
  <w:style w:type="character" w:styleId="9">
    <w:name w:val="HTML Variable"/>
    <w:basedOn w:val="4"/>
    <w:uiPriority w:val="0"/>
  </w:style>
  <w:style w:type="character" w:styleId="10">
    <w:name w:val="Hyperlink"/>
    <w:basedOn w:val="4"/>
    <w:uiPriority w:val="0"/>
    <w:rPr>
      <w:color w:val="000000"/>
      <w:u w:val="none"/>
    </w:rPr>
  </w:style>
  <w:style w:type="character" w:styleId="11">
    <w:name w:val="HTML Code"/>
    <w:basedOn w:val="4"/>
    <w:uiPriority w:val="0"/>
    <w:rPr>
      <w:rFonts w:ascii="Consolas" w:hAnsi="Consolas" w:eastAsia="Consolas" w:cs="Consolas"/>
      <w:color w:val="C7254E"/>
      <w:sz w:val="21"/>
      <w:szCs w:val="21"/>
      <w:shd w:val="clear" w:fill="F9F2F4"/>
    </w:rPr>
  </w:style>
  <w:style w:type="character" w:styleId="12">
    <w:name w:val="HTML Cite"/>
    <w:basedOn w:val="4"/>
    <w:uiPriority w:val="0"/>
  </w:style>
  <w:style w:type="character" w:styleId="13">
    <w:name w:val="HTML Keyboard"/>
    <w:basedOn w:val="4"/>
    <w:uiPriority w:val="0"/>
    <w:rPr>
      <w:rFonts w:hint="default" w:ascii="Consolas" w:hAnsi="Consolas" w:eastAsia="Consolas" w:cs="Consolas"/>
      <w:vanish/>
      <w:color w:val="FFFFFF"/>
      <w:sz w:val="21"/>
      <w:szCs w:val="21"/>
      <w:shd w:val="clear" w:fill="333333"/>
    </w:rPr>
  </w:style>
  <w:style w:type="character" w:styleId="14">
    <w:name w:val="HTML Sample"/>
    <w:basedOn w:val="4"/>
    <w:uiPriority w:val="0"/>
    <w:rPr>
      <w:rFonts w:hint="default" w:ascii="Consolas" w:hAnsi="Consolas" w:eastAsia="Consolas" w:cs="Consolas"/>
      <w:sz w:val="21"/>
      <w:szCs w:val="21"/>
    </w:rPr>
  </w:style>
  <w:style w:type="character" w:customStyle="1" w:styleId="15">
    <w:name w:val="column-name"/>
    <w:basedOn w:val="4"/>
    <w:uiPriority w:val="0"/>
  </w:style>
  <w:style w:type="character" w:customStyle="1" w:styleId="16">
    <w:name w:val="hover7"/>
    <w:basedOn w:val="4"/>
    <w:uiPriority w:val="0"/>
    <w:rPr>
      <w:color w:val="FFFFFF"/>
      <w:shd w:val="clear" w:fill="F9AC0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2021-04-06T01:44:00Z</dcterms:created>
  <dc:creator>Administrator</dc:creator>
  <cp:lastModifiedBy>雨露</cp:lastModifiedBy>
  <dcterms:modified xsi:type="dcterms:W3CDTF">2021-04-06T02:00:13Z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7EF830E2C07E42FE98069C245A94660B</vt:lpwstr>
  </property>
</Properties>
</file>