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</w:rPr>
        <w:t>国务院法制局关于勘查、开采矿泉水、地下热水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</w:rPr>
        <w:t>行政管理适用法律有关问题的复函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（国法办函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[1998]]5号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地质矿产部：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你部1997年12月24日《关于勘查、开采矿泉水、地下热水行政管理适用法律有关问题的请示》（地发[1997]289号）收悉。经国务院领导同志同意，我局曾就矿泉水、地下热水属性和适用法律问题分别函复过福建省、河北省、辽宁省和天津市人民政府法制局（办）。你部请示的问题属于同类性质的问题，现函复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一、矿泉水和地下热水均具有矿产资源和水资源的双重属性。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、矿泉水和地下热水的勘查、开发、利用、保护和管理，适用《中华人民共和国矿产资源法》、《中华人民共和国矿产资源法实施细则》和《矿产资源补偿费征收管理规定》。鉴于矿泉水、地下热水管理与水资源管理关系较为密切，在依法办理矿泉水或者地下热水的开采登记手续时，应当附具水行政主管部门的审查意见。为了避免重复管理、重复收费，对于依法取得矿泉水或者地下热水采矿许可证的，不再办理取水许可证。</w:t>
      </w:r>
    </w:p>
    <w:p>
      <w:pPr>
        <w:ind w:firstLine="3920" w:firstLineChars="14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中华人民共和国国务院法制局</w:t>
      </w:r>
    </w:p>
    <w:p>
      <w:pPr>
        <w:ind w:firstLine="4760" w:firstLineChars="17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1998年1月19日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2021-04-06T08:47:04Z</dcterms:created>
  <dc:creator>Administrator</dc:creator>
  <cp:lastModifiedBy>雨露</cp:lastModifiedBy>
  <dcterms:modified xsi:type="dcterms:W3CDTF">2021-04-06T08:50:41Z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AA977F4D745943ADB21B1E73B2EC2D4D</vt:lpwstr>
  </property>
</Properties>
</file>