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B7B8" w14:textId="091426FB" w:rsidR="00597199" w:rsidRDefault="001C47AA" w:rsidP="001C47AA">
      <w:pPr>
        <w:pStyle w:val="Titre"/>
        <w:jc w:val="center"/>
      </w:pPr>
      <w:r>
        <w:t xml:space="preserve">Spécification du projet </w:t>
      </w:r>
      <w:r w:rsidR="00C82A7F">
        <w:t>GIMOVapp</w:t>
      </w:r>
    </w:p>
    <w:p w14:paraId="16AA00CF" w14:textId="3E31808A" w:rsidR="001C47AA" w:rsidRDefault="00696841" w:rsidP="001C47AA">
      <w:pPr>
        <w:pStyle w:val="Sous-titre"/>
        <w:jc w:val="center"/>
      </w:pPr>
      <w:proofErr w:type="spellStart"/>
      <w:r w:rsidRPr="00696841">
        <w:t>Graphical</w:t>
      </w:r>
      <w:proofErr w:type="spellEnd"/>
      <w:r w:rsidRPr="00696841">
        <w:t xml:space="preserve"> Interface for Multi-</w:t>
      </w:r>
      <w:proofErr w:type="spellStart"/>
      <w:r w:rsidRPr="00696841">
        <w:t>Omics</w:t>
      </w:r>
      <w:proofErr w:type="spellEnd"/>
      <w:r w:rsidRPr="00696841">
        <w:t xml:space="preserve"> Visualisation</w:t>
      </w:r>
    </w:p>
    <w:p w14:paraId="66395BD4" w14:textId="4184B2A6" w:rsidR="001C47AA" w:rsidRDefault="001C47AA" w:rsidP="001C47AA"/>
    <w:p w14:paraId="1AC673F5" w14:textId="5C469022" w:rsidR="001C47AA" w:rsidRDefault="001C47AA" w:rsidP="00C45BD3">
      <w:pPr>
        <w:pStyle w:val="Titre1"/>
        <w:jc w:val="both"/>
      </w:pPr>
      <w:r>
        <w:t>Objectifs :</w:t>
      </w:r>
    </w:p>
    <w:p w14:paraId="1A143DFF" w14:textId="599EEF76" w:rsidR="001C47AA" w:rsidRDefault="00F46C82" w:rsidP="00C45BD3">
      <w:pPr>
        <w:jc w:val="both"/>
      </w:pPr>
      <w:r>
        <w:tab/>
      </w:r>
      <w:r w:rsidR="001C47AA">
        <w:t xml:space="preserve">Le logiciel a pour but de fournir une interface graphique ergonomique et fluide pour la visualisation de données single cell RNA seq </w:t>
      </w:r>
      <w:r>
        <w:t>puis</w:t>
      </w:r>
      <w:r w:rsidR="001C47AA">
        <w:t xml:space="preserve"> multi-omique dans un second </w:t>
      </w:r>
      <w:r w:rsidR="00AD6CDB">
        <w:t>temps (</w:t>
      </w:r>
      <w:r w:rsidR="00750FE8">
        <w:t>priorités Cite-seq, ATAC-seq et spatial)</w:t>
      </w:r>
      <w:r w:rsidR="001C47AA">
        <w:t xml:space="preserve">. L’interface sera sous la forme d’un site web accessible </w:t>
      </w:r>
      <w:r>
        <w:t>uniquement par le réseau du CRCL et sera hébergé</w:t>
      </w:r>
      <w:r w:rsidR="00750FE8">
        <w:t>e</w:t>
      </w:r>
      <w:r>
        <w:t xml:space="preserve"> sur un serveur interne.</w:t>
      </w:r>
    </w:p>
    <w:p w14:paraId="31FB8C3B" w14:textId="22414422" w:rsidR="00F46C82" w:rsidRDefault="00F46C82" w:rsidP="00C45BD3">
      <w:pPr>
        <w:jc w:val="both"/>
      </w:pPr>
      <w:r>
        <w:tab/>
        <w:t xml:space="preserve">L’interface </w:t>
      </w:r>
      <w:r w:rsidR="00436660">
        <w:t>sera organisée en plusieurs onglets thématique</w:t>
      </w:r>
      <w:r w:rsidR="00331113">
        <w:t>s</w:t>
      </w:r>
      <w:r w:rsidR="00436660">
        <w:t xml:space="preserve"> </w:t>
      </w:r>
      <w:r>
        <w:t>comport</w:t>
      </w:r>
      <w:r w:rsidR="00436660">
        <w:t>ant</w:t>
      </w:r>
      <w:r>
        <w:t xml:space="preserve"> </w:t>
      </w:r>
      <w:r w:rsidR="00436660">
        <w:t>des</w:t>
      </w:r>
      <w:r>
        <w:t xml:space="preserve"> graphiques </w:t>
      </w:r>
      <w:r w:rsidR="00436660">
        <w:t xml:space="preserve">interactifs </w:t>
      </w:r>
      <w:r>
        <w:t>qui feront ressortir au mieux les informations du jeu de donnés.</w:t>
      </w:r>
      <w:r w:rsidR="00436660">
        <w:t xml:space="preserve"> </w:t>
      </w:r>
      <w:r w:rsidR="00750FE8">
        <w:t xml:space="preserve">Le but étant de permettre à l’utilisateur de projeter des informations de contrôle qualité ou biologique sur son jeu de données </w:t>
      </w:r>
      <w:r w:rsidR="00436660">
        <w:t xml:space="preserve">On retrouvera aussi la possibilité de faire des analyses directement depuis l’interface pour donner plus d’autonomie à l’utilisateur. </w:t>
      </w:r>
    </w:p>
    <w:p w14:paraId="54459394" w14:textId="2635AE31" w:rsidR="00C45BD3" w:rsidRPr="00436660" w:rsidRDefault="00C45BD3" w:rsidP="00C45BD3">
      <w:pPr>
        <w:jc w:val="both"/>
      </w:pPr>
      <w:r>
        <w:tab/>
        <w:t xml:space="preserve">L’interface sous forme de site web devra permettre un accès sans installation de la part de l’utilisateur ainsi qu’un </w:t>
      </w:r>
      <w:r w:rsidR="004E74D8">
        <w:t>accès limité aux</w:t>
      </w:r>
      <w:r>
        <w:t xml:space="preserve"> données qui ne pourront pas être récupéré</w:t>
      </w:r>
      <w:r w:rsidR="00750FE8">
        <w:t>e</w:t>
      </w:r>
      <w:r>
        <w:t>s, ou modifié</w:t>
      </w:r>
      <w:r w:rsidR="00750FE8">
        <w:t>es</w:t>
      </w:r>
      <w:r>
        <w:t>. Les analyses ne seront que des modifications temporaires du jeu de donnée</w:t>
      </w:r>
      <w:r w:rsidR="00750FE8">
        <w:t>s</w:t>
      </w:r>
      <w:r>
        <w:t xml:space="preserve">, qui ne sera pas enregistré. </w:t>
      </w:r>
    </w:p>
    <w:p w14:paraId="7F35F6AF" w14:textId="77777777" w:rsidR="00C45BD3" w:rsidRDefault="00C45BD3" w:rsidP="00C45BD3">
      <w:pPr>
        <w:jc w:val="both"/>
      </w:pPr>
    </w:p>
    <w:p w14:paraId="71AA2C3C" w14:textId="22EA93E0" w:rsidR="00F46C82" w:rsidRDefault="00F46C82" w:rsidP="00C45BD3">
      <w:pPr>
        <w:jc w:val="both"/>
      </w:pPr>
    </w:p>
    <w:p w14:paraId="1C37CF72" w14:textId="6C30B46F" w:rsidR="00436660" w:rsidRDefault="00436660" w:rsidP="00C45BD3">
      <w:pPr>
        <w:pStyle w:val="Titre1"/>
        <w:jc w:val="both"/>
      </w:pPr>
      <w:r>
        <w:t>Technologies :</w:t>
      </w:r>
    </w:p>
    <w:p w14:paraId="2386E6C2" w14:textId="380CD195" w:rsidR="00436660" w:rsidRDefault="00436660" w:rsidP="00C45BD3">
      <w:pPr>
        <w:jc w:val="both"/>
      </w:pPr>
      <w:r>
        <w:tab/>
      </w:r>
      <w:r w:rsidR="00C96919">
        <w:t>Le logiciel</w:t>
      </w:r>
      <w:r>
        <w:t xml:space="preserve"> sera </w:t>
      </w:r>
      <w:r w:rsidR="00C96919">
        <w:t>développé</w:t>
      </w:r>
      <w:r>
        <w:t xml:space="preserve"> en Python grâce </w:t>
      </w:r>
      <w:r w:rsidR="00C96919">
        <w:t>au module Dash (équivalent de Rshiny pour Python).</w:t>
      </w:r>
      <w:r w:rsidR="004E74D8">
        <w:t xml:space="preserve"> Le script lancera l’interface grâce à un serveur Flask, configuré par Dash.</w:t>
      </w:r>
      <w:r w:rsidR="00C96919">
        <w:t xml:space="preserve"> Elle utilisera des données sous la forme h5ad format AnnData pour le single-cell ou MuData (extension de AnnData) pour le multi-omique. Les analyses proposées seront faites par le module Scanpy</w:t>
      </w:r>
      <w:r w:rsidR="00750FE8">
        <w:t xml:space="preserve"> (ou autre package python)</w:t>
      </w:r>
      <w:r w:rsidR="00C96919">
        <w:t>, utilisé pour l’analyse de données single-cell.</w:t>
      </w:r>
      <w:r w:rsidR="004E74D8">
        <w:t xml:space="preserve"> Les différents graphiques seront construits avec le module Plotly, compatible avec Dash (car même créateur).</w:t>
      </w:r>
    </w:p>
    <w:p w14:paraId="748FC3F0" w14:textId="0ADE6AFC" w:rsidR="00C96919" w:rsidRDefault="00C96919" w:rsidP="00C45BD3">
      <w:pPr>
        <w:jc w:val="both"/>
      </w:pPr>
      <w:r>
        <w:tab/>
      </w:r>
      <w:r w:rsidR="00C45BD3">
        <w:t>Le logiciel sera hébergé sur un serveur interne au CRCL puis déploy</w:t>
      </w:r>
      <w:r w:rsidR="00750FE8">
        <w:t>é</w:t>
      </w:r>
      <w:r w:rsidR="00C45BD3">
        <w:t xml:space="preserve"> dans une machine virtuelle. Les utilisateurs pourront donc accéder à leurs données uniquement depuis le réseau du CRCL et via un code unique qui leur sera envo</w:t>
      </w:r>
      <w:r w:rsidR="00750FE8">
        <w:t>yé</w:t>
      </w:r>
      <w:r w:rsidR="003D4EBD">
        <w:t>.</w:t>
      </w:r>
    </w:p>
    <w:p w14:paraId="5898339A" w14:textId="62008138" w:rsidR="003D4EBD" w:rsidRDefault="003D4EBD" w:rsidP="00C45BD3">
      <w:pPr>
        <w:jc w:val="both"/>
      </w:pPr>
    </w:p>
    <w:p w14:paraId="26CD6623" w14:textId="79414FAA" w:rsidR="003D4EBD" w:rsidRDefault="003D4EBD" w:rsidP="003D4EBD">
      <w:pPr>
        <w:pStyle w:val="Titre1"/>
      </w:pPr>
      <w:r>
        <w:t>Graphiques :</w:t>
      </w:r>
    </w:p>
    <w:p w14:paraId="599A3114" w14:textId="73BCE704" w:rsidR="003D4EBD" w:rsidRDefault="003D4EBD" w:rsidP="00EF2BBC">
      <w:pPr>
        <w:pStyle w:val="Paragraphedeliste"/>
        <w:numPr>
          <w:ilvl w:val="0"/>
          <w:numId w:val="2"/>
        </w:numPr>
        <w:jc w:val="both"/>
      </w:pPr>
      <w:r w:rsidRPr="003D4EBD">
        <w:rPr>
          <w:color w:val="2F5496" w:themeColor="accent1" w:themeShade="BF"/>
        </w:rPr>
        <w:t>Umap</w:t>
      </w:r>
      <w:r w:rsidRPr="00AA630B">
        <w:rPr>
          <w:color w:val="2F5496" w:themeColor="accent1" w:themeShade="BF"/>
        </w:rPr>
        <w:t xml:space="preserve"> : </w:t>
      </w:r>
      <w:r>
        <w:t xml:space="preserve">Affichage des différents embeddings calculés, ainsi qu’une coloration par les observations ou les gènes. Il sera possible de modifier </w:t>
      </w:r>
      <w:r w:rsidR="00EF2BBC">
        <w:t>la taille</w:t>
      </w:r>
      <w:r>
        <w:t xml:space="preserve"> des points, le pourcentage de cellules affichées, </w:t>
      </w:r>
      <w:r w:rsidR="00EF2BBC">
        <w:t>la palette, ainsi que les seuils de coloration.</w:t>
      </w:r>
      <w:r w:rsidR="00C1406B">
        <w:t xml:space="preserve"> Un switch permettra de passer d’un affichage 2D vers 3D si l’embeddings le permet.</w:t>
      </w:r>
      <w:r w:rsidR="002E1BE0">
        <w:t xml:space="preserve"> La Umap pourra afficher l’image pour le spatial, et les trajectoires de la vélocité. On pourra aussi sélectionner au lasso différents groupes pour faire une analyse différentielle.</w:t>
      </w:r>
    </w:p>
    <w:p w14:paraId="207D5409" w14:textId="39FD0BFD" w:rsidR="00EF2BBC" w:rsidRDefault="00EF2BBC" w:rsidP="00EF2BBC">
      <w:pPr>
        <w:pStyle w:val="Paragraphedeliste"/>
        <w:numPr>
          <w:ilvl w:val="0"/>
          <w:numId w:val="2"/>
        </w:numPr>
        <w:jc w:val="both"/>
      </w:pPr>
      <w:r>
        <w:rPr>
          <w:color w:val="2F5496" w:themeColor="accent1" w:themeShade="BF"/>
        </w:rPr>
        <w:t>Histplot</w:t>
      </w:r>
      <w:r w:rsidRPr="00AA630B">
        <w:rPr>
          <w:color w:val="2F5496" w:themeColor="accent1" w:themeShade="BF"/>
        </w:rPr>
        <w:t xml:space="preserve"> : </w:t>
      </w:r>
      <w:r>
        <w:t>Affichage d’observation</w:t>
      </w:r>
      <w:r w:rsidR="00AA630B">
        <w:t>s</w:t>
      </w:r>
      <w:r>
        <w:t xml:space="preserve"> </w:t>
      </w:r>
      <w:r w:rsidR="00AA630B">
        <w:t>et variables</w:t>
      </w:r>
      <w:r w:rsidR="00C1406B">
        <w:t xml:space="preserve"> numérique</w:t>
      </w:r>
      <w:r w:rsidR="007D2F8C">
        <w:t>s</w:t>
      </w:r>
      <w:r w:rsidR="00C1406B">
        <w:t xml:space="preserve"> </w:t>
      </w:r>
      <w:r>
        <w:t>pour vérifier l</w:t>
      </w:r>
      <w:r w:rsidR="00AA630B">
        <w:t>es</w:t>
      </w:r>
      <w:r>
        <w:t xml:space="preserve"> QCs appliqué</w:t>
      </w:r>
      <w:r w:rsidR="00AA630B">
        <w:t>s</w:t>
      </w:r>
      <w:r>
        <w:t xml:space="preserve">. </w:t>
      </w:r>
      <w:r w:rsidR="00C1406B">
        <w:t>Si une variable factorielle est sélectionnée pour le boxplot, alors le graphique affichera la variable numérique en fonction de celle factorielle.</w:t>
      </w:r>
    </w:p>
    <w:p w14:paraId="22B7F7F7" w14:textId="7950689F" w:rsidR="00EF2BBC" w:rsidRDefault="00AA630B" w:rsidP="00EF2BBC">
      <w:pPr>
        <w:pStyle w:val="Paragraphedeliste"/>
        <w:numPr>
          <w:ilvl w:val="0"/>
          <w:numId w:val="2"/>
        </w:numPr>
        <w:jc w:val="both"/>
      </w:pPr>
      <w:r>
        <w:rPr>
          <w:color w:val="2F5496" w:themeColor="accent1" w:themeShade="BF"/>
        </w:rPr>
        <w:lastRenderedPageBreak/>
        <w:t>Box plot :</w:t>
      </w:r>
      <w:r>
        <w:t xml:space="preserve"> </w:t>
      </w:r>
      <w:r w:rsidR="00C1406B">
        <w:t xml:space="preserve">Affiche la distribution des données numériques en fonction d’une donnée factorielle. </w:t>
      </w:r>
    </w:p>
    <w:p w14:paraId="2975C796" w14:textId="35F6B5EF" w:rsidR="00AA630B" w:rsidRPr="00AA630B" w:rsidRDefault="00AA630B" w:rsidP="00EF2BBC">
      <w:pPr>
        <w:pStyle w:val="Paragraphedeliste"/>
        <w:numPr>
          <w:ilvl w:val="0"/>
          <w:numId w:val="2"/>
        </w:numPr>
        <w:jc w:val="both"/>
        <w:rPr>
          <w:color w:val="2F5496" w:themeColor="accent1" w:themeShade="BF"/>
        </w:rPr>
      </w:pPr>
      <w:r w:rsidRPr="00AA630B">
        <w:rPr>
          <w:color w:val="2F5496" w:themeColor="accent1" w:themeShade="BF"/>
        </w:rPr>
        <w:t>Tableau :</w:t>
      </w:r>
      <w:r w:rsidR="00A50692">
        <w:rPr>
          <w:color w:val="2F5496" w:themeColor="accent1" w:themeShade="BF"/>
        </w:rPr>
        <w:t xml:space="preserve"> </w:t>
      </w:r>
      <w:r w:rsidR="00274F4C">
        <w:rPr>
          <w:color w:val="000000" w:themeColor="text1"/>
        </w:rPr>
        <w:t>Affiches les gènes différentiellement exprimés dans un tableau trié par la pvalue. Le tableau comporte au moins le nom, le fold change, la pvalue et la pvalue ajustée.</w:t>
      </w:r>
      <w:r w:rsidR="002E1BE0">
        <w:rPr>
          <w:color w:val="000000" w:themeColor="text1"/>
        </w:rPr>
        <w:t xml:space="preserve"> On pourra sauvegarder le tableau en csv soit partiellement soit complètement (fichier de plusieurs dizaines de milliers de lignes)</w:t>
      </w:r>
    </w:p>
    <w:p w14:paraId="32BD32F1" w14:textId="72DCC3FA" w:rsidR="00AA630B" w:rsidRPr="00AA630B" w:rsidRDefault="00AA630B" w:rsidP="00EF2BBC">
      <w:pPr>
        <w:pStyle w:val="Paragraphedeliste"/>
        <w:numPr>
          <w:ilvl w:val="0"/>
          <w:numId w:val="2"/>
        </w:numPr>
        <w:jc w:val="both"/>
        <w:rPr>
          <w:color w:val="2F5496" w:themeColor="accent1" w:themeShade="BF"/>
        </w:rPr>
      </w:pPr>
      <w:r w:rsidRPr="00AA630B">
        <w:rPr>
          <w:color w:val="2F5496" w:themeColor="accent1" w:themeShade="BF"/>
        </w:rPr>
        <w:t>Heatmap :</w:t>
      </w:r>
      <w:r w:rsidR="00274F4C">
        <w:rPr>
          <w:color w:val="2F5496" w:themeColor="accent1" w:themeShade="BF"/>
        </w:rPr>
        <w:t xml:space="preserve"> </w:t>
      </w:r>
      <w:r w:rsidR="00274F4C" w:rsidRPr="00274F4C">
        <w:rPr>
          <w:color w:val="000000" w:themeColor="text1"/>
        </w:rPr>
        <w:t>Affiche</w:t>
      </w:r>
      <w:r w:rsidR="00274F4C">
        <w:rPr>
          <w:color w:val="000000" w:themeColor="text1"/>
        </w:rPr>
        <w:t xml:space="preserve"> l’expression des gènes différentiellement exprimé pour chaque cellule et chaque cluster sélectionné.</w:t>
      </w:r>
    </w:p>
    <w:p w14:paraId="4FB4DA66" w14:textId="16BE0639" w:rsidR="00AA630B" w:rsidRPr="00AA630B" w:rsidRDefault="00AA630B" w:rsidP="00EF2BBC">
      <w:pPr>
        <w:pStyle w:val="Paragraphedeliste"/>
        <w:numPr>
          <w:ilvl w:val="0"/>
          <w:numId w:val="2"/>
        </w:numPr>
        <w:jc w:val="both"/>
        <w:rPr>
          <w:color w:val="2F5496" w:themeColor="accent1" w:themeShade="BF"/>
        </w:rPr>
      </w:pPr>
      <w:r w:rsidRPr="00AA630B">
        <w:rPr>
          <w:color w:val="2F5496" w:themeColor="accent1" w:themeShade="BF"/>
        </w:rPr>
        <w:t>Dotplot :</w:t>
      </w:r>
      <w:r w:rsidR="00274F4C">
        <w:rPr>
          <w:color w:val="2F5496" w:themeColor="accent1" w:themeShade="BF"/>
        </w:rPr>
        <w:t xml:space="preserve"> </w:t>
      </w:r>
      <w:r w:rsidR="00274F4C" w:rsidRPr="00274F4C">
        <w:rPr>
          <w:color w:val="000000" w:themeColor="text1"/>
        </w:rPr>
        <w:t>Affiche</w:t>
      </w:r>
      <w:r w:rsidR="00274F4C">
        <w:rPr>
          <w:color w:val="000000" w:themeColor="text1"/>
        </w:rPr>
        <w:t xml:space="preserve"> l’expression des gènes différentiellement exprimé </w:t>
      </w:r>
      <w:r w:rsidR="00C87CDF">
        <w:rPr>
          <w:color w:val="000000" w:themeColor="text1"/>
        </w:rPr>
        <w:t xml:space="preserve">dans </w:t>
      </w:r>
      <w:r w:rsidR="00274F4C">
        <w:rPr>
          <w:color w:val="000000" w:themeColor="text1"/>
        </w:rPr>
        <w:t>chaque cluster.</w:t>
      </w:r>
    </w:p>
    <w:p w14:paraId="09C958EE" w14:textId="0296AB84" w:rsidR="00AA630B" w:rsidRPr="00AA630B" w:rsidRDefault="00AA630B" w:rsidP="00EF2BBC">
      <w:pPr>
        <w:pStyle w:val="Paragraphedeliste"/>
        <w:numPr>
          <w:ilvl w:val="0"/>
          <w:numId w:val="2"/>
        </w:numPr>
        <w:jc w:val="both"/>
        <w:rPr>
          <w:color w:val="2F5496" w:themeColor="accent1" w:themeShade="BF"/>
        </w:rPr>
      </w:pPr>
      <w:r w:rsidRPr="00AA630B">
        <w:rPr>
          <w:color w:val="2F5496" w:themeColor="accent1" w:themeShade="BF"/>
        </w:rPr>
        <w:t>Density plot :</w:t>
      </w:r>
      <w:r w:rsidR="004A561B" w:rsidRPr="004A561B">
        <w:rPr>
          <w:color w:val="000000" w:themeColor="text1"/>
        </w:rPr>
        <w:t xml:space="preserve"> Permet</w:t>
      </w:r>
      <w:r w:rsidR="004A561B">
        <w:rPr>
          <w:color w:val="000000" w:themeColor="text1"/>
        </w:rPr>
        <w:t xml:space="preserve"> d’afficher la distribution de données continue en fonction d’autre données continue. Comme par exemple</w:t>
      </w:r>
      <w:r w:rsidR="003472FF">
        <w:rPr>
          <w:color w:val="000000" w:themeColor="text1"/>
        </w:rPr>
        <w:t>, le nombre d’UMI en fonction du pseudotime, On pourra aussi créer une ligne par observation factorielle.</w:t>
      </w:r>
    </w:p>
    <w:p w14:paraId="2834F2ED" w14:textId="3FA85663" w:rsidR="00AA630B" w:rsidRPr="00AA630B" w:rsidRDefault="00AA630B" w:rsidP="00EF2BBC">
      <w:pPr>
        <w:pStyle w:val="Paragraphedeliste"/>
        <w:numPr>
          <w:ilvl w:val="0"/>
          <w:numId w:val="2"/>
        </w:numPr>
        <w:jc w:val="both"/>
        <w:rPr>
          <w:color w:val="2F5496" w:themeColor="accent1" w:themeShade="BF"/>
        </w:rPr>
      </w:pPr>
      <w:r w:rsidRPr="00AA630B">
        <w:rPr>
          <w:color w:val="2F5496" w:themeColor="accent1" w:themeShade="BF"/>
        </w:rPr>
        <w:t>Stacked barplot :</w:t>
      </w:r>
      <w:r w:rsidR="003472FF">
        <w:rPr>
          <w:color w:val="2F5496" w:themeColor="accent1" w:themeShade="BF"/>
        </w:rPr>
        <w:t xml:space="preserve"> </w:t>
      </w:r>
      <w:r w:rsidR="003472FF" w:rsidRPr="003472FF">
        <w:rPr>
          <w:color w:val="000000" w:themeColor="text1"/>
        </w:rPr>
        <w:t>Permet d’afficher la répartition des données entre deux observations factorielle</w:t>
      </w:r>
      <w:r w:rsidR="003472FF">
        <w:rPr>
          <w:color w:val="000000" w:themeColor="text1"/>
        </w:rPr>
        <w:t>s</w:t>
      </w:r>
      <w:r w:rsidR="003472FF" w:rsidRPr="003472FF">
        <w:rPr>
          <w:color w:val="000000" w:themeColor="text1"/>
        </w:rPr>
        <w:t>.</w:t>
      </w:r>
    </w:p>
    <w:p w14:paraId="66011D6A" w14:textId="2DD23B2F" w:rsidR="00AA630B" w:rsidRPr="003472FF" w:rsidRDefault="00AA630B" w:rsidP="00AA630B">
      <w:pPr>
        <w:pStyle w:val="Paragraphedeliste"/>
        <w:numPr>
          <w:ilvl w:val="0"/>
          <w:numId w:val="2"/>
        </w:numPr>
        <w:jc w:val="both"/>
        <w:rPr>
          <w:color w:val="2F5496" w:themeColor="accent1" w:themeShade="BF"/>
        </w:rPr>
      </w:pPr>
      <w:r w:rsidRPr="00AA630B">
        <w:rPr>
          <w:color w:val="2F5496" w:themeColor="accent1" w:themeShade="BF"/>
        </w:rPr>
        <w:t>Fluvial plot </w:t>
      </w:r>
      <w:r w:rsidR="00C87CDF">
        <w:rPr>
          <w:color w:val="2F5496" w:themeColor="accent1" w:themeShade="BF"/>
        </w:rPr>
        <w:t xml:space="preserve">(sankey plot) </w:t>
      </w:r>
      <w:r w:rsidRPr="00AA630B">
        <w:rPr>
          <w:color w:val="2F5496" w:themeColor="accent1" w:themeShade="BF"/>
        </w:rPr>
        <w:t>:</w:t>
      </w:r>
      <w:r w:rsidR="003472FF">
        <w:rPr>
          <w:color w:val="2F5496" w:themeColor="accent1" w:themeShade="BF"/>
        </w:rPr>
        <w:t xml:space="preserve"> </w:t>
      </w:r>
      <w:r w:rsidR="003472FF" w:rsidRPr="003472FF">
        <w:rPr>
          <w:color w:val="000000" w:themeColor="text1"/>
        </w:rPr>
        <w:t>Permet d’afficher la répartition des données entre deux observations factorielle</w:t>
      </w:r>
      <w:r w:rsidR="003472FF">
        <w:rPr>
          <w:color w:val="000000" w:themeColor="text1"/>
        </w:rPr>
        <w:t>s</w:t>
      </w:r>
      <w:r w:rsidR="003472FF" w:rsidRPr="003472FF">
        <w:rPr>
          <w:color w:val="000000" w:themeColor="text1"/>
        </w:rPr>
        <w:t>.</w:t>
      </w:r>
    </w:p>
    <w:p w14:paraId="48BD1389" w14:textId="57B8C941" w:rsidR="00AA630B" w:rsidRDefault="00AA630B" w:rsidP="00AA630B">
      <w:pPr>
        <w:pStyle w:val="Titre1"/>
      </w:pPr>
      <w:r>
        <w:t>Analyses :</w:t>
      </w:r>
    </w:p>
    <w:p w14:paraId="670DA644" w14:textId="6C28E684" w:rsidR="00AA630B" w:rsidRPr="00327337" w:rsidRDefault="00327337" w:rsidP="00C87CDF">
      <w:pPr>
        <w:pStyle w:val="Paragraphedeliste"/>
        <w:numPr>
          <w:ilvl w:val="0"/>
          <w:numId w:val="5"/>
        </w:numPr>
        <w:jc w:val="both"/>
        <w:rPr>
          <w:color w:val="2F5496" w:themeColor="accent1" w:themeShade="BF"/>
        </w:rPr>
      </w:pPr>
      <w:r w:rsidRPr="00327337">
        <w:rPr>
          <w:color w:val="2F5496" w:themeColor="accent1" w:themeShade="BF"/>
        </w:rPr>
        <w:t>Pathways :</w:t>
      </w:r>
      <w:r w:rsidR="003472FF">
        <w:rPr>
          <w:color w:val="2F5496" w:themeColor="accent1" w:themeShade="BF"/>
        </w:rPr>
        <w:t xml:space="preserve"> </w:t>
      </w:r>
      <w:r w:rsidR="003472FF" w:rsidRPr="003472FF">
        <w:rPr>
          <w:color w:val="000000" w:themeColor="text1"/>
        </w:rPr>
        <w:t xml:space="preserve">Permet la sélection de plusieurs gènes pour la création d’un </w:t>
      </w:r>
      <w:r w:rsidR="000E4464">
        <w:rPr>
          <w:color w:val="000000" w:themeColor="text1"/>
        </w:rPr>
        <w:t>p</w:t>
      </w:r>
      <w:r w:rsidR="003472FF" w:rsidRPr="003472FF">
        <w:rPr>
          <w:color w:val="000000" w:themeColor="text1"/>
        </w:rPr>
        <w:t xml:space="preserve">athways. Scanpy permettra pour chaque cellule un calcul d’affinité avec le </w:t>
      </w:r>
      <w:r w:rsidR="007D2F8C">
        <w:rPr>
          <w:color w:val="000000" w:themeColor="text1"/>
        </w:rPr>
        <w:t>p</w:t>
      </w:r>
      <w:r w:rsidR="003472FF" w:rsidRPr="003472FF">
        <w:rPr>
          <w:color w:val="000000" w:themeColor="text1"/>
        </w:rPr>
        <w:t>athway. On pourra ensuite l’afficher sur les autres plots.</w:t>
      </w:r>
    </w:p>
    <w:p w14:paraId="549E72F9" w14:textId="2E8719C2" w:rsidR="00327337" w:rsidRPr="00327337" w:rsidRDefault="00327337" w:rsidP="00C87CDF">
      <w:pPr>
        <w:pStyle w:val="Paragraphedeliste"/>
        <w:numPr>
          <w:ilvl w:val="0"/>
          <w:numId w:val="5"/>
        </w:numPr>
        <w:jc w:val="both"/>
        <w:rPr>
          <w:color w:val="2F5496" w:themeColor="accent1" w:themeShade="BF"/>
        </w:rPr>
      </w:pPr>
      <w:r w:rsidRPr="00327337">
        <w:rPr>
          <w:color w:val="2F5496" w:themeColor="accent1" w:themeShade="BF"/>
        </w:rPr>
        <w:t>Clusterings :</w:t>
      </w:r>
      <w:r w:rsidR="003472FF">
        <w:rPr>
          <w:color w:val="2F5496" w:themeColor="accent1" w:themeShade="BF"/>
        </w:rPr>
        <w:t xml:space="preserve"> </w:t>
      </w:r>
      <w:r w:rsidR="003472FF" w:rsidRPr="000E4464">
        <w:rPr>
          <w:color w:val="000000" w:themeColor="text1"/>
        </w:rPr>
        <w:t xml:space="preserve">Permet de créer un clustering avec </w:t>
      </w:r>
      <w:r w:rsidR="000E4464" w:rsidRPr="000E4464">
        <w:rPr>
          <w:color w:val="000000" w:themeColor="text1"/>
        </w:rPr>
        <w:t>plusieurs résolutions différentes, puis de récupérer les gènes différentiellement exprimé</w:t>
      </w:r>
      <w:r w:rsidR="000E4464">
        <w:rPr>
          <w:color w:val="000000" w:themeColor="text1"/>
        </w:rPr>
        <w:t>s</w:t>
      </w:r>
      <w:r w:rsidR="000E4464" w:rsidRPr="000E4464">
        <w:rPr>
          <w:color w:val="000000" w:themeColor="text1"/>
        </w:rPr>
        <w:t xml:space="preserve"> par ces mêmes clusters.</w:t>
      </w:r>
      <w:r w:rsidR="002E1BE0">
        <w:rPr>
          <w:color w:val="000000" w:themeColor="text1"/>
        </w:rPr>
        <w:t xml:space="preserve"> On pourra comparer les différents clustering directement grâce à un sankey plot.</w:t>
      </w:r>
    </w:p>
    <w:sectPr w:rsidR="00327337" w:rsidRPr="00327337" w:rsidSect="00457A2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6DB5" w14:textId="77777777" w:rsidR="007E1051" w:rsidRDefault="007E1051" w:rsidP="00457A24">
      <w:r>
        <w:separator/>
      </w:r>
    </w:p>
  </w:endnote>
  <w:endnote w:type="continuationSeparator" w:id="0">
    <w:p w14:paraId="1C87FAE4" w14:textId="77777777" w:rsidR="007E1051" w:rsidRDefault="007E1051" w:rsidP="0045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F60F" w14:textId="77777777" w:rsidR="007E1051" w:rsidRDefault="007E1051" w:rsidP="00457A24">
      <w:r>
        <w:separator/>
      </w:r>
    </w:p>
  </w:footnote>
  <w:footnote w:type="continuationSeparator" w:id="0">
    <w:p w14:paraId="29CF0248" w14:textId="77777777" w:rsidR="007E1051" w:rsidRDefault="007E1051" w:rsidP="00457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3432" w14:textId="066D87A1" w:rsidR="00457A24" w:rsidRPr="00457A24" w:rsidRDefault="002E1BE0">
    <w:pPr>
      <w:pStyle w:val="En-tte"/>
      <w:rPr>
        <w:sz w:val="20"/>
        <w:szCs w:val="20"/>
      </w:rPr>
    </w:pPr>
    <w:r>
      <w:rPr>
        <w:sz w:val="20"/>
        <w:szCs w:val="20"/>
      </w:rPr>
      <w:t>11</w:t>
    </w:r>
    <w:r w:rsidR="00457A24" w:rsidRPr="00457A24">
      <w:rPr>
        <w:sz w:val="20"/>
        <w:szCs w:val="20"/>
      </w:rPr>
      <w:t>/0</w:t>
    </w:r>
    <w:r>
      <w:rPr>
        <w:sz w:val="20"/>
        <w:szCs w:val="20"/>
      </w:rPr>
      <w:t>5</w:t>
    </w:r>
    <w:r w:rsidR="00457A24" w:rsidRPr="00457A24">
      <w:rPr>
        <w:sz w:val="20"/>
        <w:szCs w:val="20"/>
      </w:rPr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1F0"/>
    <w:multiLevelType w:val="hybridMultilevel"/>
    <w:tmpl w:val="CAD26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0DC3"/>
    <w:multiLevelType w:val="hybridMultilevel"/>
    <w:tmpl w:val="BBDA3546"/>
    <w:lvl w:ilvl="0" w:tplc="42FE8BC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3899"/>
    <w:multiLevelType w:val="hybridMultilevel"/>
    <w:tmpl w:val="E8F6DC2C"/>
    <w:lvl w:ilvl="0" w:tplc="298C4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013A4"/>
    <w:multiLevelType w:val="hybridMultilevel"/>
    <w:tmpl w:val="79B2400E"/>
    <w:lvl w:ilvl="0" w:tplc="040C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35C4715B"/>
    <w:multiLevelType w:val="hybridMultilevel"/>
    <w:tmpl w:val="EEBA1892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944992616">
    <w:abstractNumId w:val="3"/>
  </w:num>
  <w:num w:numId="2" w16cid:durableId="346060671">
    <w:abstractNumId w:val="1"/>
  </w:num>
  <w:num w:numId="3" w16cid:durableId="641154341">
    <w:abstractNumId w:val="0"/>
  </w:num>
  <w:num w:numId="4" w16cid:durableId="680087862">
    <w:abstractNumId w:val="4"/>
  </w:num>
  <w:num w:numId="5" w16cid:durableId="21759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D2"/>
    <w:rsid w:val="000E4464"/>
    <w:rsid w:val="001C47AA"/>
    <w:rsid w:val="00274F4C"/>
    <w:rsid w:val="002E1BE0"/>
    <w:rsid w:val="00327337"/>
    <w:rsid w:val="00331113"/>
    <w:rsid w:val="003472FF"/>
    <w:rsid w:val="003D4EBD"/>
    <w:rsid w:val="00436660"/>
    <w:rsid w:val="00457A24"/>
    <w:rsid w:val="004A561B"/>
    <w:rsid w:val="004E74D8"/>
    <w:rsid w:val="005925B5"/>
    <w:rsid w:val="00597199"/>
    <w:rsid w:val="00696841"/>
    <w:rsid w:val="00750FE8"/>
    <w:rsid w:val="007D2F8C"/>
    <w:rsid w:val="007E1051"/>
    <w:rsid w:val="00895C38"/>
    <w:rsid w:val="008A082A"/>
    <w:rsid w:val="00A50692"/>
    <w:rsid w:val="00AA630B"/>
    <w:rsid w:val="00AD6CDB"/>
    <w:rsid w:val="00C1406B"/>
    <w:rsid w:val="00C170F1"/>
    <w:rsid w:val="00C45BD3"/>
    <w:rsid w:val="00C82A7F"/>
    <w:rsid w:val="00C87CDF"/>
    <w:rsid w:val="00C96919"/>
    <w:rsid w:val="00DA3DD2"/>
    <w:rsid w:val="00EF2BBC"/>
    <w:rsid w:val="00F4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6F86"/>
  <w15:chartTrackingRefBased/>
  <w15:docId w15:val="{E3917305-9D86-5847-80B1-603FEAB6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C47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47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C47A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1C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D4E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57A2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57A24"/>
  </w:style>
  <w:style w:type="paragraph" w:styleId="Pieddepage">
    <w:name w:val="footer"/>
    <w:basedOn w:val="Normal"/>
    <w:link w:val="PieddepageCar"/>
    <w:uiPriority w:val="99"/>
    <w:unhideWhenUsed/>
    <w:rsid w:val="00457A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7A24"/>
  </w:style>
  <w:style w:type="character" w:customStyle="1" w:styleId="Textedelespacerserv">
    <w:name w:val="Texte de l’espace réservé"/>
    <w:basedOn w:val="Policepardfaut"/>
    <w:uiPriority w:val="99"/>
    <w:semiHidden/>
    <w:rsid w:val="00457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6C32E-48DD-534B-B4BE-5DF1EE225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2022-03-11T14:23:00Z</cp:lastPrinted>
  <dcterms:created xsi:type="dcterms:W3CDTF">2022-03-11T14:27:00Z</dcterms:created>
  <dcterms:modified xsi:type="dcterms:W3CDTF">2022-05-11T07:38:00Z</dcterms:modified>
</cp:coreProperties>
</file>