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Review</w:t>
      </w:r>
    </w:p>
    <w:p>
      <w:r>
        <w:t xml:space="preserve">Revenue was </w:t>
      </w:r>
      <w:r>
        <w:rPr>
          <w:b/>
        </w:rPr>
        <w:t>up 12%</w:t>
      </w:r>
      <w:r>
        <w:t> this quarter.</w:t>
      </w:r>
    </w:p>
    <w:p>
      <w:pPr>
        <w:numPr>
          <w:ilvl w:val="0"/>
          <w:numId w:val="1"/>
        </w:numPr>
      </w:pPr>
      <w:r>
        <w:t>North region led</w:t>
      </w:r>
    </w:p>
    <w:p>
      <w:pPr>
        <w:numPr>
          <w:ilvl w:val="0"/>
          <w:numId w:val="1"/>
        </w:numPr>
      </w:pPr>
      <w:r>
        <w:t>Churn down to 3.1%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