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bookmarkEnd w:id="1"/>
    <w:p w14:paraId="6ECFAB8F" w14:textId="14AC2561" w:rsidR="00AC4D75" w:rsidRPr="00D01349" w:rsidRDefault="00A23FDE" w:rsidP="008F38AE">
      <w:pPr>
        <w:pStyle w:val="NoSpacing"/>
        <w:rPr>
          <w:rStyle w:val="StyleHeading1TextBlue"/>
          <w:color w:val="000000" w:themeColor="text1"/>
        </w:rPr>
      </w:pPr>
      <w:r>
        <w:rPr>
          <w:rStyle w:val="StyleHeading1TextBlue"/>
          <w:color w:val="000000" w:themeColor="text1"/>
        </w:rPr>
        <w:t>This</w:t>
      </w:r>
      <w:r w:rsidR="00456268">
        <w:rPr>
          <w:rStyle w:val="StyleHeading1TextBlue"/>
          <w:color w:val="000000" w:themeColor="text1"/>
        </w:rPr>
        <w:t xml:space="preserve"> protocol serves as the guidance to use the Automation Bare Necessities</w:t>
      </w:r>
      <w:r w:rsidR="00D14957">
        <w:rPr>
          <w:rStyle w:val="StyleHeading1TextBlue"/>
          <w:color w:val="000000" w:themeColor="text1"/>
        </w:rPr>
        <w:t xml:space="preserve"> (ABN)</w:t>
      </w:r>
      <w:r w:rsidR="00456268">
        <w:rPr>
          <w:rStyle w:val="StyleHeading1TextBlue"/>
          <w:color w:val="000000" w:themeColor="text1"/>
        </w:rPr>
        <w:t xml:space="preserve"> Excel</w:t>
      </w:r>
      <w:r w:rsidR="00C14DF4">
        <w:rPr>
          <w:rStyle w:val="StyleHeading1TextBlue"/>
          <w:color w:val="000000" w:themeColor="text1"/>
        </w:rPr>
        <w:t>-</w:t>
      </w:r>
      <w:r w:rsidR="00456268">
        <w:rPr>
          <w:rStyle w:val="StyleHeading1TextBlue"/>
          <w:color w:val="000000" w:themeColor="text1"/>
        </w:rPr>
        <w:t>based method editor on Hamilton automated liquid handlers. This document covers</w:t>
      </w:r>
      <w:r w:rsidR="00F67F4A">
        <w:rPr>
          <w:rStyle w:val="StyleHeading1TextBlue"/>
          <w:color w:val="000000" w:themeColor="text1"/>
        </w:rPr>
        <w:t xml:space="preserve"> </w:t>
      </w:r>
      <w:r w:rsidR="00456268">
        <w:rPr>
          <w:rStyle w:val="StyleHeading1TextBlue"/>
          <w:color w:val="000000" w:themeColor="text1"/>
        </w:rPr>
        <w:t>method creation</w:t>
      </w:r>
      <w:r w:rsidR="00995101">
        <w:rPr>
          <w:rStyle w:val="StyleHeading1TextBlue"/>
          <w:color w:val="000000" w:themeColor="text1"/>
        </w:rPr>
        <w:t xml:space="preserve">, </w:t>
      </w:r>
      <w:r w:rsidR="00456268">
        <w:rPr>
          <w:rStyle w:val="StyleHeading1TextBlue"/>
          <w:color w:val="000000" w:themeColor="text1"/>
        </w:rPr>
        <w:t>testing</w:t>
      </w:r>
      <w:r w:rsidR="00995101">
        <w:rPr>
          <w:rStyle w:val="StyleHeading1TextBlue"/>
          <w:color w:val="000000" w:themeColor="text1"/>
        </w:rPr>
        <w:t xml:space="preserve"> and execution</w:t>
      </w:r>
      <w:r w:rsidR="00456268">
        <w:rPr>
          <w:rStyle w:val="StyleHeading1TextBlue"/>
          <w:color w:val="000000" w:themeColor="text1"/>
        </w:rPr>
        <w:t xml:space="preserve">, </w:t>
      </w:r>
      <w:r w:rsidR="00995101">
        <w:rPr>
          <w:rStyle w:val="StyleHeading1TextBlue"/>
          <w:color w:val="000000" w:themeColor="text1"/>
        </w:rPr>
        <w:t xml:space="preserve">and </w:t>
      </w:r>
      <w:r w:rsidR="00456268">
        <w:rPr>
          <w:rStyle w:val="StyleHeading1TextBlue"/>
          <w:color w:val="000000" w:themeColor="text1"/>
        </w:rPr>
        <w:t xml:space="preserve">includes information about each available </w:t>
      </w:r>
      <w:r w:rsidR="00793703">
        <w:rPr>
          <w:rStyle w:val="StyleHeading1TextBlue"/>
          <w:color w:val="000000" w:themeColor="text1"/>
        </w:rPr>
        <w:t>Building Block</w:t>
      </w:r>
      <w:r w:rsidR="00995101">
        <w:rPr>
          <w:rStyle w:val="StyleHeading1TextBlue"/>
          <w:color w:val="000000" w:themeColor="text1"/>
        </w:rPr>
        <w:t>.</w:t>
      </w:r>
      <w:r w:rsidR="00D14957">
        <w:rPr>
          <w:rStyle w:val="StyleHeading1TextBlue"/>
          <w:color w:val="000000" w:themeColor="text1"/>
        </w:rPr>
        <w:t xml:space="preserve"> This document should be</w:t>
      </w:r>
      <w:r w:rsidR="00F67F4A">
        <w:rPr>
          <w:rStyle w:val="StyleHeading1TextBlue"/>
          <w:color w:val="000000" w:themeColor="text1"/>
        </w:rPr>
        <w:t xml:space="preserve"> </w:t>
      </w:r>
      <w:r w:rsidR="00D14957">
        <w:rPr>
          <w:rStyle w:val="StyleHeading1TextBlue"/>
          <w:color w:val="000000" w:themeColor="text1"/>
        </w:rPr>
        <w:t>updated as soon as new actions are made available to ABN users.</w:t>
      </w:r>
    </w:p>
    <w:p w14:paraId="2FF58D01" w14:textId="77777777" w:rsidR="00776D4A" w:rsidRPr="008A600F" w:rsidRDefault="00776D4A" w:rsidP="004F289D">
      <w:pPr>
        <w:pStyle w:val="Heading1"/>
        <w:rPr>
          <w:color w:val="000000" w:themeColor="text1"/>
        </w:rPr>
      </w:pPr>
      <w:bookmarkStart w:id="3" w:name="Scope"/>
      <w:r w:rsidRPr="008A600F">
        <w:rPr>
          <w:color w:val="000000" w:themeColor="text1"/>
        </w:rPr>
        <w:t xml:space="preserve">Scope </w:t>
      </w:r>
    </w:p>
    <w:bookmarkEnd w:id="3"/>
    <w:p w14:paraId="7D653795" w14:textId="07AB06BE" w:rsidR="0036426E" w:rsidRPr="008A600F" w:rsidRDefault="00D14957" w:rsidP="008F38AE">
      <w:pPr>
        <w:pStyle w:val="NoSpacing"/>
        <w:rPr>
          <w:rStyle w:val="StyleHeading1TextBlue"/>
          <w:color w:val="000000" w:themeColor="text1"/>
        </w:rPr>
      </w:pPr>
      <w:r>
        <w:rPr>
          <w:rStyle w:val="StyleHeading1TextBlue"/>
          <w:color w:val="000000" w:themeColor="text1"/>
        </w:rPr>
        <w:t>ABN support is limited to Hamilton automated liquid handlers only. ABN</w:t>
      </w:r>
      <w:r w:rsidR="00AE4EEF">
        <w:rPr>
          <w:rStyle w:val="StyleHeading1TextBlue"/>
          <w:color w:val="000000" w:themeColor="text1"/>
        </w:rPr>
        <w:t xml:space="preserve"> </w:t>
      </w:r>
      <w:r>
        <w:rPr>
          <w:rStyle w:val="StyleHeading1TextBlue"/>
          <w:color w:val="000000" w:themeColor="text1"/>
        </w:rPr>
        <w:t>will</w:t>
      </w:r>
      <w:r w:rsidR="00F67F4A">
        <w:rPr>
          <w:rStyle w:val="StyleHeading1TextBlue"/>
          <w:color w:val="000000" w:themeColor="text1"/>
        </w:rPr>
        <w:t xml:space="preserve"> </w:t>
      </w:r>
      <w:r w:rsidR="00AE4EEF">
        <w:rPr>
          <w:rStyle w:val="StyleHeading1TextBlue"/>
          <w:color w:val="000000" w:themeColor="text1"/>
        </w:rPr>
        <w:t>theoretically</w:t>
      </w:r>
      <w:r w:rsidR="003C271B">
        <w:rPr>
          <w:rStyle w:val="StyleHeading1TextBlue"/>
          <w:color w:val="000000" w:themeColor="text1"/>
        </w:rPr>
        <w:t xml:space="preserve"> </w:t>
      </w:r>
      <w:r>
        <w:rPr>
          <w:rStyle w:val="StyleHeading1TextBlue"/>
          <w:color w:val="000000" w:themeColor="text1"/>
        </w:rPr>
        <w:t>capture all programming and runtime errors before a sample run and prevent</w:t>
      </w:r>
      <w:r w:rsidR="00F67F4A">
        <w:rPr>
          <w:rStyle w:val="StyleHeading1TextBlue"/>
          <w:color w:val="000000" w:themeColor="text1"/>
        </w:rPr>
        <w:t xml:space="preserve"> </w:t>
      </w:r>
      <w:r>
        <w:rPr>
          <w:rStyle w:val="StyleHeading1TextBlue"/>
          <w:color w:val="000000" w:themeColor="text1"/>
        </w:rPr>
        <w:t xml:space="preserve">an error prone run from occurring. </w:t>
      </w:r>
      <w:r w:rsidR="003C271B">
        <w:rPr>
          <w:rStyle w:val="StyleHeading1TextBlue"/>
          <w:color w:val="000000" w:themeColor="text1"/>
        </w:rPr>
        <w:t>One important caveat is that</w:t>
      </w:r>
      <w:r>
        <w:rPr>
          <w:rStyle w:val="StyleHeading1TextBlue"/>
          <w:color w:val="000000" w:themeColor="text1"/>
        </w:rPr>
        <w:t xml:space="preserve"> ABN cannot capture all</w:t>
      </w:r>
      <w:r w:rsidR="00F67F4A">
        <w:rPr>
          <w:rStyle w:val="StyleHeading1TextBlue"/>
          <w:color w:val="000000" w:themeColor="text1"/>
        </w:rPr>
        <w:t xml:space="preserve"> </w:t>
      </w:r>
      <w:r>
        <w:rPr>
          <w:rStyle w:val="StyleHeading1TextBlue"/>
          <w:color w:val="000000" w:themeColor="text1"/>
        </w:rPr>
        <w:t>logic errors during method creation. If errors are experienced, it is important to report the</w:t>
      </w:r>
      <w:r w:rsidR="00F67F4A">
        <w:rPr>
          <w:rStyle w:val="StyleHeading1TextBlue"/>
          <w:color w:val="000000" w:themeColor="text1"/>
        </w:rPr>
        <w:t xml:space="preserve"> </w:t>
      </w:r>
      <w:r>
        <w:rPr>
          <w:rStyle w:val="StyleHeading1TextBlue"/>
          <w:color w:val="000000" w:themeColor="text1"/>
        </w:rPr>
        <w:t>errors as soon as possible so corrections can be implemented.</w:t>
      </w:r>
      <w:r w:rsidR="003C271B">
        <w:rPr>
          <w:rStyle w:val="StyleHeading1TextBlue"/>
          <w:color w:val="000000" w:themeColor="text1"/>
        </w:rPr>
        <w:t xml:space="preserve"> This correction will prevent</w:t>
      </w:r>
      <w:r w:rsidR="00F67F4A">
        <w:rPr>
          <w:rStyle w:val="StyleHeading1TextBlue"/>
          <w:color w:val="000000" w:themeColor="text1"/>
        </w:rPr>
        <w:t xml:space="preserve"> </w:t>
      </w:r>
      <w:r w:rsidR="003C271B">
        <w:rPr>
          <w:rStyle w:val="StyleHeading1TextBlue"/>
          <w:color w:val="000000" w:themeColor="text1"/>
        </w:rPr>
        <w:t xml:space="preserve">the error from accidently </w:t>
      </w:r>
      <w:r w:rsidR="00BC7972">
        <w:rPr>
          <w:rStyle w:val="StyleHeading1TextBlue"/>
          <w:color w:val="000000" w:themeColor="text1"/>
        </w:rPr>
        <w:t>occurring</w:t>
      </w:r>
      <w:r w:rsidR="003C271B">
        <w:rPr>
          <w:rStyle w:val="StyleHeading1TextBlue"/>
          <w:color w:val="000000" w:themeColor="text1"/>
        </w:rPr>
        <w:t xml:space="preserve"> during a run, which means that error reporting is the</w:t>
      </w:r>
      <w:r w:rsidR="00F67F4A">
        <w:rPr>
          <w:rStyle w:val="StyleHeading1TextBlue"/>
          <w:color w:val="000000" w:themeColor="text1"/>
        </w:rPr>
        <w:t xml:space="preserve"> </w:t>
      </w:r>
      <w:r w:rsidR="003C271B">
        <w:rPr>
          <w:rStyle w:val="StyleHeading1TextBlue"/>
          <w:color w:val="000000" w:themeColor="text1"/>
        </w:rPr>
        <w:t xml:space="preserve">single most important responsibility </w:t>
      </w:r>
      <w:r w:rsidR="00BC7972">
        <w:rPr>
          <w:rStyle w:val="StyleHeading1TextBlue"/>
          <w:color w:val="000000" w:themeColor="text1"/>
        </w:rPr>
        <w:t>for</w:t>
      </w:r>
      <w:r w:rsidR="003C271B">
        <w:rPr>
          <w:rStyle w:val="StyleHeading1TextBlue"/>
          <w:color w:val="000000" w:themeColor="text1"/>
        </w:rPr>
        <w:t xml:space="preserve"> all ABN users.</w:t>
      </w:r>
    </w:p>
    <w:p w14:paraId="2F123ED9" w14:textId="77777777" w:rsidR="00776D4A" w:rsidRDefault="00C305EB" w:rsidP="00AC4D75">
      <w:pPr>
        <w:pStyle w:val="Heading1"/>
      </w:pPr>
      <w:bookmarkStart w:id="4" w:name="Principle"/>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0DFDA398"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w:t>
      </w:r>
      <w:r w:rsidR="008A20C7">
        <w:t>,</w:t>
      </w:r>
      <w:r w:rsidR="00E7421E">
        <w:t xml:space="preserve"> together</w:t>
      </w:r>
      <w:r w:rsidR="008A20C7">
        <w:t>,</w:t>
      </w:r>
      <w:r w:rsidR="00E7421E">
        <w:t xml:space="preserve"> create a rock solid interface for fast method programming and robust method execution.</w:t>
      </w:r>
    </w:p>
    <w:p w14:paraId="2B3ACC1C" w14:textId="77777777" w:rsidR="000301AA" w:rsidRDefault="000301AA">
      <w:pPr>
        <w:overflowPunct/>
        <w:autoSpaceDE/>
        <w:autoSpaceDN/>
        <w:adjustRightInd/>
        <w:textAlignment w:val="auto"/>
        <w:rPr>
          <w:rFonts w:cs="Arial"/>
          <w:b/>
          <w:bCs/>
          <w:caps/>
          <w:szCs w:val="28"/>
        </w:rPr>
      </w:pPr>
      <w:r>
        <w:br w:type="page"/>
      </w:r>
    </w:p>
    <w:p w14:paraId="2AA93D84" w14:textId="7B45437B" w:rsidR="00456268" w:rsidRDefault="00FD6DBE" w:rsidP="00456268">
      <w:pPr>
        <w:pStyle w:val="Heading1"/>
      </w:pPr>
      <w:bookmarkStart w:id="5" w:name="Definitions"/>
      <w:r>
        <w:lastRenderedPageBreak/>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t>Method Creation</w:t>
      </w:r>
    </w:p>
    <w:bookmarkEnd w:id="6"/>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00FE841E" w14:textId="77777777" w:rsidR="000301AA" w:rsidRDefault="000301AA">
      <w:pPr>
        <w:overflowPunct/>
        <w:autoSpaceDE/>
        <w:autoSpaceDN/>
        <w:adjustRightInd/>
        <w:textAlignment w:val="auto"/>
        <w:rPr>
          <w:rFonts w:cs="Arial"/>
          <w:b/>
          <w:bCs/>
          <w:szCs w:val="26"/>
        </w:rPr>
      </w:pPr>
      <w:r>
        <w:br w:type="page"/>
      </w:r>
    </w:p>
    <w:p w14:paraId="114C525D" w14:textId="09B507F2" w:rsidR="00001D9C" w:rsidRDefault="00001D9C" w:rsidP="00001D9C">
      <w:pPr>
        <w:pStyle w:val="Heading2"/>
      </w:pPr>
      <w:bookmarkStart w:id="7" w:name="WorkbookOverview"/>
      <w:r>
        <w:lastRenderedPageBreak/>
        <w:t>Excel Method Workbook Overview</w:t>
      </w:r>
    </w:p>
    <w:bookmarkEnd w:id="7"/>
    <w:p w14:paraId="297EFDAE" w14:textId="4FDB866E" w:rsidR="0009157C" w:rsidRPr="0009157C" w:rsidRDefault="0009157C" w:rsidP="0009157C">
      <w:pPr>
        <w:pStyle w:val="Heading3"/>
      </w:pPr>
      <w:r>
        <w:t>Worklist Sheet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7FD1AC0F" w:rsidR="00D707DF" w:rsidRPr="00D707DF" w:rsidRDefault="00D707DF" w:rsidP="00D707DF">
      <w:pPr>
        <w:pStyle w:val="ListParagraph"/>
      </w:pPr>
      <w:r>
        <w:t xml:space="preserve">As you test and validate your method you will notice a </w:t>
      </w:r>
      <w:proofErr w:type="spellStart"/>
      <w:r>
        <w:t>TestLog</w:t>
      </w:r>
      <w:proofErr w:type="spellEnd"/>
      <w:r>
        <w:t xml:space="preserve"> and </w:t>
      </w:r>
      <w:proofErr w:type="spellStart"/>
      <w:r>
        <w:t>RunLog</w:t>
      </w:r>
      <w:proofErr w:type="spellEnd"/>
      <w:r>
        <w:t xml:space="preserve"> sheet. Additionally, a </w:t>
      </w:r>
      <w:proofErr w:type="spellStart"/>
      <w:r>
        <w:t>PrepList</w:t>
      </w:r>
      <w:proofErr w:type="spellEnd"/>
      <w:r>
        <w:t xml:space="preserve"> sheet may appear. These sheets are automatically generated by the ABN python interface. Reading a Log sheet will be covered in depth in ___LOGS___.</w:t>
      </w:r>
    </w:p>
    <w:p w14:paraId="04B9CE90" w14:textId="77777777" w:rsidR="00D707DF" w:rsidRPr="00D707DF" w:rsidRDefault="00D707DF" w:rsidP="00D707DF">
      <w:pPr>
        <w:pStyle w:val="ListParagraph"/>
      </w:pPr>
    </w:p>
    <w:p w14:paraId="28DC44E1" w14:textId="77777777" w:rsidR="000301AA" w:rsidRDefault="000301AA">
      <w:pPr>
        <w:overflowPunct/>
        <w:autoSpaceDE/>
        <w:autoSpaceDN/>
        <w:adjustRightInd/>
        <w:textAlignment w:val="auto"/>
        <w:rPr>
          <w:rFonts w:cs="Arial"/>
          <w:b/>
          <w:bCs/>
          <w:szCs w:val="26"/>
        </w:rPr>
      </w:pPr>
      <w:r>
        <w:br w:type="page"/>
      </w:r>
    </w:p>
    <w:p w14:paraId="1925C0BD" w14:textId="3F1F2507" w:rsidR="00E723D7" w:rsidRPr="00E723D7" w:rsidRDefault="00C2084D" w:rsidP="00E723D7">
      <w:pPr>
        <w:pStyle w:val="Heading2"/>
      </w:pPr>
      <w:bookmarkStart w:id="8" w:name="MethodCreationBlocks"/>
      <w:r>
        <w:lastRenderedPageBreak/>
        <w:t>Building Blocks</w:t>
      </w:r>
    </w:p>
    <w:p w14:paraId="1AB91406" w14:textId="1E77BDF6" w:rsidR="00771807" w:rsidRDefault="00EC2A3C" w:rsidP="00771807">
      <w:pPr>
        <w:pStyle w:val="Heading3"/>
      </w:pPr>
      <w:bookmarkStart w:id="9" w:name="MethodCreationBlocksDescription"/>
      <w:bookmarkEnd w:id="8"/>
      <w:r>
        <w:t xml:space="preserve">High Level </w:t>
      </w:r>
      <w:r w:rsidR="00E723D7">
        <w:t>Description</w:t>
      </w:r>
    </w:p>
    <w:bookmarkEnd w:id="9"/>
    <w:p w14:paraId="72BF4DEC" w14:textId="3F7D7DEE" w:rsidR="0017251B" w:rsidRDefault="0017251B" w:rsidP="008F38AE">
      <w:pPr>
        <w:pStyle w:val="ListParagraph"/>
      </w:pPr>
      <w:r>
        <w:t xml:space="preserve">Blocks is the term to describe all Pathways, Actions, and Modifiers. They are designed to convey information in a </w:t>
      </w:r>
      <w:commentRangeStart w:id="10"/>
      <w:commentRangeStart w:id="11"/>
      <w:r>
        <w:t>human readable sequence of events</w:t>
      </w:r>
      <w:commentRangeEnd w:id="10"/>
      <w:r w:rsidR="00C14DF4">
        <w:rPr>
          <w:rStyle w:val="CommentReference"/>
        </w:rPr>
        <w:commentReference w:id="10"/>
      </w:r>
      <w:commentRangeEnd w:id="11"/>
      <w:r w:rsidR="00702638">
        <w:rPr>
          <w:rStyle w:val="CommentReference"/>
        </w:rPr>
        <w:commentReference w:id="11"/>
      </w:r>
      <w:r>
        <w:t>.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12" w:name="MethodCreationBlocksInterface"/>
      <w:r>
        <w:t>Worklist Interface</w:t>
      </w:r>
    </w:p>
    <w:bookmarkEnd w:id="12"/>
    <w:p w14:paraId="3882C70F" w14:textId="7AF9786F" w:rsidR="008F38AE" w:rsidRDefault="0017251B" w:rsidP="008F38AE">
      <w:pPr>
        <w:pStyle w:val="ListParagraph"/>
      </w:pPr>
      <w:r>
        <w:t xml:space="preserve">Blocks can interface directly to a sample worklist, which allows blocks to treat samples </w:t>
      </w:r>
      <w:commentRangeStart w:id="13"/>
      <w:commentRangeStart w:id="14"/>
      <w:commentRangeStart w:id="15"/>
      <w:r>
        <w:t>uniquely during processing</w:t>
      </w:r>
      <w:commentRangeEnd w:id="13"/>
      <w:r w:rsidR="00BE0289">
        <w:rPr>
          <w:rStyle w:val="CommentReference"/>
        </w:rPr>
        <w:commentReference w:id="13"/>
      </w:r>
      <w:commentRangeEnd w:id="14"/>
      <w:r w:rsidR="008A20C7">
        <w:rPr>
          <w:rStyle w:val="CommentReference"/>
        </w:rPr>
        <w:commentReference w:id="14"/>
      </w:r>
      <w:commentRangeEnd w:id="15"/>
      <w:r w:rsidR="00D03291">
        <w:rPr>
          <w:rStyle w:val="CommentReference"/>
        </w:rPr>
        <w:commentReference w:id="15"/>
      </w:r>
      <w:r>
        <w:t>.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xml:space="preserve">: Low TCEP -&gt; </w:t>
      </w:r>
      <w:proofErr w:type="spellStart"/>
      <w:r>
        <w:t>2uL</w:t>
      </w:r>
      <w:proofErr w:type="spellEnd"/>
      <w:r>
        <w:t xml:space="preserve">, Normal TCEP -&gt; </w:t>
      </w:r>
      <w:proofErr w:type="spellStart"/>
      <w:r>
        <w:t>5uL</w:t>
      </w:r>
      <w:proofErr w:type="spellEnd"/>
      <w:r>
        <w:t xml:space="preserve">, High TCEP -&gt; </w:t>
      </w:r>
      <w:proofErr w:type="spellStart"/>
      <w:r>
        <w:t>10uL</w:t>
      </w:r>
      <w:proofErr w:type="spellEnd"/>
      <w:r>
        <w:t>.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6" w:name="MethodCreationBlocksPathways"/>
      <w:r>
        <w:lastRenderedPageBreak/>
        <w:t>Pathways</w:t>
      </w:r>
      <w:r w:rsidR="006C68BF">
        <w:t xml:space="preserve"> </w:t>
      </w:r>
    </w:p>
    <w:bookmarkEnd w:id="16"/>
    <w:p w14:paraId="4783922A" w14:textId="7487B6C4" w:rsidR="00E7421E" w:rsidRDefault="00651C21" w:rsidP="008F38AE">
      <w:pPr>
        <w:pStyle w:val="ListParagraph"/>
      </w:pPr>
      <w:r>
        <w:t>Pathways define a linear sequence of events. Pathways are defined with the Plate block only. The Plate block basically activates a new plate and deactivates the parent plate (the most recent plate). Other pathway options are available (Split Plate, Merge Plates</w:t>
      </w:r>
      <w:r w:rsidR="00955253">
        <w:t>, Finish</w:t>
      </w:r>
      <w:r>
        <w:t>), but behind the scenes they merely implement the Plate block in a different way. Plates can be Activate</w:t>
      </w:r>
      <w:r w:rsidR="00955253">
        <w:t>d</w:t>
      </w:r>
      <w:r>
        <w:t>, deactivated, and reactivated as many times as you wish in a method</w:t>
      </w:r>
      <w:r w:rsidR="00955253">
        <w:t xml:space="preserve"> without consequence</w:t>
      </w:r>
      <w:r>
        <w:t xml:space="preserve">. </w:t>
      </w:r>
    </w:p>
    <w:p w14:paraId="615159C0" w14:textId="08ED1676" w:rsidR="00651C21" w:rsidRDefault="00651C21" w:rsidP="008F38AE">
      <w:pPr>
        <w:pStyle w:val="ListParagraph"/>
      </w:pPr>
    </w:p>
    <w:p w14:paraId="0A835C13" w14:textId="7CBAC72D" w:rsidR="00651C21" w:rsidRDefault="00955253" w:rsidP="008F38AE">
      <w:pPr>
        <w:pStyle w:val="ListParagraph"/>
      </w:pPr>
      <w:r>
        <w:rPr>
          <w:noProof/>
        </w:rPr>
        <w:drawing>
          <wp:inline distT="0" distB="0" distL="0" distR="0" wp14:anchorId="57B0E639" wp14:editId="1D024FC4">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4F2935F4" w14:textId="2614A1C3" w:rsidR="00651C21" w:rsidRDefault="00651C21" w:rsidP="008F38AE">
      <w:pPr>
        <w:pStyle w:val="ListParagraph"/>
      </w:pPr>
    </w:p>
    <w:p w14:paraId="008E7AA1" w14:textId="6A4EAAA6" w:rsidR="00651C21" w:rsidRDefault="00AB0BC0" w:rsidP="008F38AE">
      <w:pPr>
        <w:pStyle w:val="ListParagraph"/>
      </w:pPr>
      <w:r>
        <w:t>Now we need to understand the idea of a parent plate</w:t>
      </w:r>
      <w:r w:rsidR="00651C21">
        <w:t xml:space="preserve">. The parent plate is the most recent Plate block in a pathway. Above, </w:t>
      </w:r>
      <w:commentRangeStart w:id="17"/>
      <w:r w:rsidR="00651C21">
        <w:t xml:space="preserve">the first instance of </w:t>
      </w:r>
      <w:commentRangeEnd w:id="17"/>
      <w:r w:rsidR="008619FC">
        <w:rPr>
          <w:rStyle w:val="CommentReference"/>
        </w:rPr>
        <w:commentReference w:id="17"/>
      </w:r>
      <w:r w:rsidR="00651C21">
        <w:t>Sample plate has no parent because it is the first plate in our linear timeline. Second, the parent plate of first instance of the Denaturation plate is the Sample plate. Third, the parent plate of the second instance of the Sample plate is the</w:t>
      </w:r>
      <w:r w:rsidR="00693EBB">
        <w:t xml:space="preserve"> first instance of the</w:t>
      </w:r>
      <w:r w:rsidR="00651C21">
        <w:t xml:space="preserve"> Denaturation plate. </w:t>
      </w:r>
      <w:r>
        <w:t>So,</w:t>
      </w:r>
      <w:r w:rsidR="00955253">
        <w:t xml:space="preserve"> who is the parent of the second instance of the Denaturation plate</w:t>
      </w:r>
      <w:r w:rsidR="00693EBB">
        <w:t>? The second instance of the Sample plate.</w:t>
      </w:r>
    </w:p>
    <w:p w14:paraId="05FE4F40" w14:textId="54BAB518" w:rsidR="00955253" w:rsidRDefault="00955253" w:rsidP="008F38AE">
      <w:pPr>
        <w:pStyle w:val="ListParagraph"/>
      </w:pPr>
    </w:p>
    <w:p w14:paraId="40127C03" w14:textId="256A2A87" w:rsidR="00651C21" w:rsidRPr="00742C0C" w:rsidRDefault="00955253" w:rsidP="008F38AE">
      <w:pPr>
        <w:pStyle w:val="ListParagraph"/>
      </w:pPr>
      <w:r>
        <w:t>This brings us to context. Contextual information is very important because it tells the history of all blocks in the linear chain. The context of the first instance of Sample plate is nothing because it came from nothing. The context of the first instance of the Denaturation plate is “Sample”, because it is a direct descendant of that plate, and Sample has no context. Now it gets interesting</w:t>
      </w:r>
      <w:r w:rsidR="00AB0BC0">
        <w:t>…</w:t>
      </w:r>
      <w:r>
        <w:t xml:space="preserve"> The context of the second instance of the Sample plate is “</w:t>
      </w:r>
      <w:proofErr w:type="spellStart"/>
      <w:r>
        <w:t>Sample:Denaturation</w:t>
      </w:r>
      <w:proofErr w:type="spellEnd"/>
      <w:r>
        <w:t xml:space="preserve">”. </w:t>
      </w:r>
      <w:r w:rsidR="00412C51">
        <w:t>And n</w:t>
      </w:r>
      <w:r w:rsidR="00AB0BC0">
        <w:t>ow we</w:t>
      </w:r>
      <w:r>
        <w:t xml:space="preserve"> can start to see what is happening, we are creating a </w:t>
      </w:r>
      <w:r w:rsidR="00412C51">
        <w:lastRenderedPageBreak/>
        <w:t xml:space="preserve">historical </w:t>
      </w:r>
      <w:r>
        <w:t>record of all plates in</w:t>
      </w:r>
      <w:r w:rsidR="00412C51">
        <w:t xml:space="preserve"> time</w:t>
      </w:r>
      <w:r>
        <w:t xml:space="preserve">. </w:t>
      </w:r>
      <w:r w:rsidR="00AB0BC0">
        <w:t>W</w:t>
      </w:r>
      <w:r>
        <w:t>hat is the context of the second instance of the denaturation plate? “</w:t>
      </w:r>
      <w:proofErr w:type="spellStart"/>
      <w:r>
        <w:t>Sample:Denaturation:Sample</w:t>
      </w:r>
      <w:proofErr w:type="spellEnd"/>
      <w:r>
        <w:t>”.</w:t>
      </w:r>
      <w:r w:rsidR="00171AC4">
        <w:t xml:space="preserve"> And if we added a new Plate block, the context would then be “</w:t>
      </w:r>
      <w:proofErr w:type="spellStart"/>
      <w:r w:rsidR="00171AC4">
        <w:t>Sample:Denaturation:Sample:Denaturation</w:t>
      </w:r>
      <w:proofErr w:type="spellEnd"/>
      <w:r w:rsidR="00171AC4">
        <w:t xml:space="preserve">”. </w:t>
      </w:r>
      <w:r>
        <w:t>This information may not seem important</w:t>
      </w:r>
      <w:r w:rsidR="00AB0BC0">
        <w:t>, b</w:t>
      </w:r>
      <w:r w:rsidR="00171AC4">
        <w:t>ut this history is what allows us to split a plate into different pathways</w:t>
      </w:r>
      <w:r w:rsidR="00405B25">
        <w:t xml:space="preserve"> and will help you understand the impact of Modifiers</w:t>
      </w:r>
      <w:r w:rsidR="00171AC4">
        <w:t>.</w:t>
      </w:r>
    </w:p>
    <w:p w14:paraId="63A5E435" w14:textId="5000BFE6" w:rsidR="00086038" w:rsidRDefault="00086038" w:rsidP="00086038">
      <w:pPr>
        <w:pStyle w:val="Heading3"/>
      </w:pPr>
      <w:bookmarkStart w:id="18" w:name="MethodCreationBlocksActions"/>
      <w:r>
        <w:t>Actions</w:t>
      </w:r>
    </w:p>
    <w:bookmarkEnd w:id="18"/>
    <w:p w14:paraId="47CEC122" w14:textId="57EA3354" w:rsidR="00742C0C" w:rsidRDefault="00742C0C" w:rsidP="008F38AE">
      <w:pPr>
        <w:pStyle w:val="ListParagraph"/>
      </w:pPr>
      <w:r>
        <w:t xml:space="preserve">Actions act on plates that are defined in pathways. An action will always act on the </w:t>
      </w:r>
      <w:r w:rsidR="00FB0C67">
        <w:t>P</w:t>
      </w:r>
      <w:r>
        <w:t>late block immediate</w:t>
      </w:r>
      <w:r w:rsidR="002E45BC">
        <w:t>ly</w:t>
      </w:r>
      <w:r>
        <w:t xml:space="preserve"> before it (most recent).</w:t>
      </w:r>
    </w:p>
    <w:p w14:paraId="4EBFF6D4" w14:textId="77777777" w:rsidR="000406AA" w:rsidRDefault="000406AA" w:rsidP="008F38AE">
      <w:pPr>
        <w:pStyle w:val="ListParagraph"/>
      </w:pPr>
    </w:p>
    <w:p w14:paraId="79D00508" w14:textId="194AB980" w:rsidR="002E45BC" w:rsidRDefault="00FC4633" w:rsidP="008F38AE">
      <w:pPr>
        <w:pStyle w:val="ListParagraph"/>
      </w:pPr>
      <w:r>
        <w:tab/>
      </w:r>
      <w:r w:rsidR="002E45BC">
        <w:rPr>
          <w:noProof/>
        </w:rPr>
        <w:drawing>
          <wp:inline distT="0" distB="0" distL="0" distR="0" wp14:anchorId="56D2EB78" wp14:editId="79C650A7">
            <wp:extent cx="4333461" cy="361618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4346" cy="3633611"/>
                    </a:xfrm>
                    <a:prstGeom prst="rect">
                      <a:avLst/>
                    </a:prstGeom>
                    <a:noFill/>
                  </pic:spPr>
                </pic:pic>
              </a:graphicData>
            </a:graphic>
          </wp:inline>
        </w:drawing>
      </w:r>
    </w:p>
    <w:p w14:paraId="34240D17" w14:textId="77777777" w:rsidR="000406AA" w:rsidRDefault="000406AA" w:rsidP="008F38AE">
      <w:pPr>
        <w:pStyle w:val="ListParagraph"/>
      </w:pPr>
    </w:p>
    <w:p w14:paraId="75172B45" w14:textId="7EC8F3E7" w:rsidR="002E45BC" w:rsidRPr="00742C0C" w:rsidRDefault="002E45BC" w:rsidP="000406AA">
      <w:pPr>
        <w:pStyle w:val="ListParagraph"/>
      </w:pPr>
      <w:r>
        <w:t>We can see above that Denaturation is the most recent Plate block. Thus, the Liquid Transfer block</w:t>
      </w:r>
      <w:r>
        <w:tab/>
        <w:t>will dispense the liquid into the Denaturation plate. All following steps will continue to act</w:t>
      </w:r>
      <w:r>
        <w:tab/>
        <w:t>on the Denaturation plate until a new Plate block is defined.</w:t>
      </w:r>
    </w:p>
    <w:p w14:paraId="4F3E240A" w14:textId="77777777" w:rsidR="000301AA" w:rsidRDefault="000301AA">
      <w:pPr>
        <w:overflowPunct/>
        <w:autoSpaceDE/>
        <w:autoSpaceDN/>
        <w:adjustRightInd/>
        <w:textAlignment w:val="auto"/>
        <w:rPr>
          <w:rFonts w:cs="Arial"/>
          <w:b/>
          <w:szCs w:val="26"/>
        </w:rPr>
      </w:pPr>
      <w:r>
        <w:br w:type="page"/>
      </w:r>
    </w:p>
    <w:p w14:paraId="07DDFC70" w14:textId="254B27AF" w:rsidR="001061CD" w:rsidRDefault="00086038" w:rsidP="001061CD">
      <w:pPr>
        <w:pStyle w:val="Heading3"/>
      </w:pPr>
      <w:bookmarkStart w:id="19" w:name="MethodCreationBlocksModifiers"/>
      <w:r>
        <w:lastRenderedPageBreak/>
        <w:t>Modifier</w:t>
      </w:r>
      <w:r w:rsidR="001061CD">
        <w:t>s</w:t>
      </w:r>
    </w:p>
    <w:bookmarkEnd w:id="19"/>
    <w:p w14:paraId="09035A84" w14:textId="3250580D" w:rsidR="00001D9C" w:rsidRDefault="002E45BC" w:rsidP="00001D9C">
      <w:pPr>
        <w:pStyle w:val="ListParagraph"/>
      </w:pPr>
      <w:r>
        <w:t>Modifiers are used to significantly change the way</w:t>
      </w:r>
      <w:r w:rsidR="00FB0C67">
        <w:t xml:space="preserve"> A</w:t>
      </w:r>
      <w:r>
        <w:t xml:space="preserve">ction blocks act in a </w:t>
      </w:r>
      <w:r w:rsidR="00FB0C67">
        <w:t>P</w:t>
      </w:r>
      <w:r>
        <w:t>athway. Modifiers are advanced blocks and, as such, the desired functionality should be confirmed in the log when creating a new method. Once desired functionality is confirmed, the method is suitable for use by all users.</w:t>
      </w:r>
    </w:p>
    <w:p w14:paraId="4F4EB4FA" w14:textId="051FAA9F" w:rsidR="0053159B" w:rsidRDefault="0053159B" w:rsidP="00001D9C">
      <w:pPr>
        <w:pStyle w:val="ListParagraph"/>
      </w:pPr>
      <w:r>
        <w:tab/>
      </w:r>
      <w:r>
        <w:rPr>
          <w:noProof/>
        </w:rPr>
        <w:drawing>
          <wp:inline distT="0" distB="0" distL="0" distR="0" wp14:anchorId="482D25AF" wp14:editId="7E2FA6D1">
            <wp:extent cx="4285753" cy="3363669"/>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806" cy="3367635"/>
                    </a:xfrm>
                    <a:prstGeom prst="rect">
                      <a:avLst/>
                    </a:prstGeom>
                    <a:noFill/>
                  </pic:spPr>
                </pic:pic>
              </a:graphicData>
            </a:graphic>
          </wp:inline>
        </w:drawing>
      </w:r>
    </w:p>
    <w:p w14:paraId="2AE151A2" w14:textId="72E8D3FF" w:rsidR="0053159B" w:rsidRDefault="0053159B" w:rsidP="00001D9C">
      <w:pPr>
        <w:pStyle w:val="ListParagraph"/>
      </w:pPr>
    </w:p>
    <w:p w14:paraId="6919D080" w14:textId="4FD46B89" w:rsidR="0053159B" w:rsidRDefault="0053159B" w:rsidP="00001D9C">
      <w:pPr>
        <w:pStyle w:val="ListParagraph"/>
      </w:pPr>
      <w:r>
        <w:t>Above, we can see that Aliquot step is modifying the Sample plate and the Denaturation plate context</w:t>
      </w:r>
      <w:r w:rsidR="0046528A">
        <w:t xml:space="preserve">. The underlying modification is not important, but it is significant. Now, when a Liquid Transfer or Dilute block appears, the pipetting </w:t>
      </w:r>
      <w:r w:rsidR="008A20C7">
        <w:t>style</w:t>
      </w:r>
      <w:r w:rsidR="0046528A">
        <w:t xml:space="preserve"> will be changed to reflect the information in the Sample Location worklist column.</w:t>
      </w:r>
    </w:p>
    <w:p w14:paraId="040C3697" w14:textId="77777777" w:rsidR="000301AA" w:rsidRDefault="000301AA">
      <w:pPr>
        <w:overflowPunct/>
        <w:autoSpaceDE/>
        <w:autoSpaceDN/>
        <w:adjustRightInd/>
        <w:textAlignment w:val="auto"/>
        <w:rPr>
          <w:rFonts w:cs="Arial"/>
          <w:b/>
          <w:bCs/>
          <w:szCs w:val="26"/>
        </w:rPr>
      </w:pPr>
      <w:r>
        <w:br w:type="page"/>
      </w:r>
    </w:p>
    <w:p w14:paraId="11ADA479" w14:textId="1DF967B4" w:rsidR="001230C4" w:rsidRDefault="001230C4" w:rsidP="001230C4">
      <w:pPr>
        <w:pStyle w:val="Heading2"/>
      </w:pPr>
      <w:bookmarkStart w:id="20" w:name="MethodCreationSolutions"/>
      <w:r>
        <w:lastRenderedPageBreak/>
        <w:t>Solutions</w:t>
      </w:r>
    </w:p>
    <w:bookmarkEnd w:id="20"/>
    <w:p w14:paraId="4587E775" w14:textId="7790877A" w:rsidR="001230C4" w:rsidRDefault="001230C4" w:rsidP="001230C4">
      <w:pPr>
        <w:pStyle w:val="Heading3"/>
      </w:pPr>
      <w:r>
        <w:t>High Level Description</w:t>
      </w:r>
    </w:p>
    <w:p w14:paraId="1518B64A" w14:textId="0CAB6ADF" w:rsidR="003773F6" w:rsidRDefault="001230C4" w:rsidP="001230C4">
      <w:pPr>
        <w:pStyle w:val="ListParagraph"/>
        <w:rPr>
          <w:noProof/>
        </w:rPr>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w:t>
      </w:r>
      <w:r w:rsidR="0009157C">
        <w:t>, and, a</w:t>
      </w:r>
      <w:r>
        <w:t>dditionally, it is possible to define how quickly tips move after an aspiration step. This information is what prevents dripping of volatile solvents or incomplete aspiration of visco</w:t>
      </w:r>
      <w:r w:rsidR="003773F6">
        <w:t>u</w:t>
      </w:r>
      <w:r>
        <w:t xml:space="preserve">s </w:t>
      </w:r>
      <w:r w:rsidR="003773F6">
        <w:t xml:space="preserve">solutions. The ABN interface abstracts away these parameters and, instead, attempts to boil liquid classes down to </w:t>
      </w:r>
      <w:r w:rsidR="008A20C7">
        <w:t xml:space="preserve">the </w:t>
      </w:r>
      <w:r w:rsidR="003773F6">
        <w:t>simple inputs</w:t>
      </w:r>
      <w:r w:rsidR="0009157C">
        <w:t xml:space="preserve"> below.</w:t>
      </w:r>
    </w:p>
    <w:p w14:paraId="2C808377" w14:textId="2D986251" w:rsidR="003773F6" w:rsidRPr="001230C4" w:rsidRDefault="003773F6" w:rsidP="001230C4">
      <w:pPr>
        <w:pStyle w:val="ListParagraph"/>
        <w:rPr>
          <w:noProof/>
        </w:rPr>
      </w:pPr>
      <w:r>
        <w:rPr>
          <w:noProof/>
        </w:rPr>
        <w:tab/>
      </w:r>
      <w:r>
        <w:rPr>
          <w:noProof/>
        </w:rPr>
        <w:tab/>
      </w:r>
      <w:r>
        <w:rPr>
          <w:noProof/>
        </w:rPr>
        <w:tab/>
      </w:r>
      <w:r>
        <w:rPr>
          <w:noProof/>
        </w:rPr>
        <w:drawing>
          <wp:inline distT="0" distB="0" distL="0" distR="0" wp14:anchorId="612987B2" wp14:editId="62F0EEE3">
            <wp:extent cx="2332117" cy="390284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3732" cy="3939021"/>
                    </a:xfrm>
                    <a:prstGeom prst="rect">
                      <a:avLst/>
                    </a:prstGeom>
                  </pic:spPr>
                </pic:pic>
              </a:graphicData>
            </a:graphic>
          </wp:inline>
        </w:drawing>
      </w:r>
    </w:p>
    <w:p w14:paraId="121771C2" w14:textId="4A009AA3" w:rsidR="001230C4" w:rsidRDefault="001230C4" w:rsidP="001230C4">
      <w:pPr>
        <w:pStyle w:val="Heading3"/>
      </w:pPr>
      <w:bookmarkStart w:id="21" w:name="MethodCreationSolutionsLoading"/>
      <w:r>
        <w:t>Deck Loading Options</w:t>
      </w:r>
    </w:p>
    <w:bookmarkEnd w:id="21"/>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bookmarkStart w:id="22" w:name="MethodCreationSolutionsHandling"/>
      <w:r>
        <w:t>Liquid Handling Options</w:t>
      </w:r>
    </w:p>
    <w:bookmarkEnd w:id="22"/>
    <w:p w14:paraId="480EBDA0" w14:textId="72EF0C6B" w:rsidR="003773F6" w:rsidRDefault="003773F6" w:rsidP="003773F6">
      <w:pPr>
        <w:pStyle w:val="ListParagraph"/>
      </w:pPr>
      <w:r>
        <w:t xml:space="preserve">Liquid handling options allow ABN to predict the liquid handling criteria. </w:t>
      </w:r>
      <w:r w:rsidR="00E3341B">
        <w:rPr>
          <w:highlight w:val="yellow"/>
        </w:rPr>
        <w:t>The ABN</w:t>
      </w:r>
      <w:r w:rsidRPr="00937966">
        <w:rPr>
          <w:highlight w:val="yellow"/>
        </w:rPr>
        <w:t xml:space="preserve"> prediction will select the best fit liquid class and the minimum mixing requirements</w:t>
      </w:r>
      <w:r w:rsidR="005E1658">
        <w:t xml:space="preserve"> to ensure an error free liquid transfer</w:t>
      </w:r>
      <w:r>
        <w:t xml:space="preserve">. If the minimum criteria </w:t>
      </w:r>
      <w:proofErr w:type="gramStart"/>
      <w:r>
        <w:t>is</w:t>
      </w:r>
      <w:proofErr w:type="gramEnd"/>
      <w:r>
        <w:t xml:space="preserve"> exceeded</w:t>
      </w:r>
      <w:r w:rsidR="004A753B">
        <w:t xml:space="preserve"> by the method designer</w:t>
      </w:r>
      <w:r>
        <w:t xml:space="preserve">, then </w:t>
      </w:r>
      <w:r w:rsidR="0009157C">
        <w:t>the higher criteria will take precedent</w:t>
      </w:r>
      <w:r>
        <w:t xml:space="preserve">. These options should be selected </w:t>
      </w:r>
      <w:r>
        <w:lastRenderedPageBreak/>
        <w:t xml:space="preserve">based on worst case scenario. There is no consequence </w:t>
      </w:r>
      <w:r w:rsidR="003206B3">
        <w:t>for</w:t>
      </w:r>
      <w:r>
        <w:t xml:space="preserve"> defining an aqueous solution as volatile or water as viscous. There </w:t>
      </w:r>
      <w:r w:rsidR="00666BA7">
        <w:t>is,</w:t>
      </w:r>
      <w:r>
        <w:t xml:space="preserve"> however, huge consequence if you define Glycol as low viscosity.</w:t>
      </w:r>
      <w:r w:rsidR="00666BA7">
        <w:t xml:space="preserve"> In most cases, these options will require testing to confirm liquid handling functions as expected.</w:t>
      </w:r>
      <w:r w:rsidR="00E3341B">
        <w:t xml:space="preserve"> Note: Default solution parameters support low concentration aqueous solutions out of the box.</w:t>
      </w:r>
    </w:p>
    <w:p w14:paraId="1883DB78" w14:textId="15874EDB" w:rsidR="00666BA7" w:rsidRDefault="00666BA7" w:rsidP="003773F6">
      <w:pPr>
        <w:pStyle w:val="ListParagraph"/>
      </w:pPr>
    </w:p>
    <w:p w14:paraId="4891A9C6" w14:textId="3F6B4B9E" w:rsidR="004A753B" w:rsidRPr="003773F6" w:rsidRDefault="00666BA7" w:rsidP="003773F6">
      <w:pPr>
        <w:pStyle w:val="ListParagraph"/>
      </w:pPr>
      <w:r>
        <w:t>Plate</w:t>
      </w:r>
      <w:r w:rsidR="003206B3">
        <w:t xml:space="preserve"> liquid handling</w:t>
      </w:r>
      <w:r>
        <w:t xml:space="preserve"> function</w:t>
      </w:r>
      <w:r w:rsidR="003206B3">
        <w:t>s</w:t>
      </w:r>
      <w:r>
        <w:t xml:space="preserve"> differently than reagent</w:t>
      </w:r>
      <w:r w:rsidR="00E3341B">
        <w:t xml:space="preserve"> liquid handling</w:t>
      </w:r>
      <w:r>
        <w:t xml:space="preserve">.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w:t>
      </w:r>
      <w:r w:rsidR="0009157C">
        <w:t xml:space="preserve">user entered </w:t>
      </w:r>
      <w:r>
        <w:t>liquid handling options.</w:t>
      </w:r>
    </w:p>
    <w:p w14:paraId="4EA46C6E" w14:textId="7CA8AE67" w:rsidR="00336FD0" w:rsidRDefault="00336FD0" w:rsidP="0009157C">
      <w:pPr>
        <w:pStyle w:val="Heading2"/>
      </w:pPr>
      <w:bookmarkStart w:id="23" w:name="MethodBuilding"/>
      <w:r>
        <w:t>Build</w:t>
      </w:r>
      <w:r w:rsidR="00EF60C4">
        <w:t>ing</w:t>
      </w:r>
      <w:r>
        <w:t xml:space="preserve"> the Method</w:t>
      </w:r>
    </w:p>
    <w:bookmarkEnd w:id="23"/>
    <w:p w14:paraId="50549CDC" w14:textId="6E7B77F0" w:rsidR="00336FD0" w:rsidRDefault="00336FD0" w:rsidP="00336FD0">
      <w:pPr>
        <w:pStyle w:val="Heading3"/>
      </w:pPr>
      <w:r>
        <w:t>The Thought Process</w:t>
      </w:r>
    </w:p>
    <w:p w14:paraId="0A06C692" w14:textId="6E1B950A" w:rsidR="00336FD0" w:rsidRDefault="00336FD0" w:rsidP="00336FD0">
      <w:pPr>
        <w:pStyle w:val="ListParagraph"/>
      </w:pPr>
      <w:r>
        <w:t xml:space="preserve">When building a method, it can be confusing to translate a manual workflow into an abstract automated workflow. </w:t>
      </w:r>
      <w:r w:rsidR="00E33253">
        <w:t>To combat this, ABN provides blocks that distill complex liquid handling actions into simple manual steps. These manual steps are meant to mimic a lab based workflow as closely as possible. Thus, t</w:t>
      </w:r>
      <w:r>
        <w:t>he best way to approach this problem is to</w:t>
      </w:r>
      <w:r w:rsidR="00E33253">
        <w:t xml:space="preserve"> do the following: Consider a plate as a container (tube) and yourself as the Hamilton. Now each block can be imagined as an action you perform manually in the lab.</w:t>
      </w:r>
    </w:p>
    <w:p w14:paraId="2B0720DA" w14:textId="77777777" w:rsidR="00725D20" w:rsidRDefault="00725D20" w:rsidP="00336FD0">
      <w:pPr>
        <w:pStyle w:val="ListParagraph"/>
      </w:pPr>
    </w:p>
    <w:p w14:paraId="333193B9" w14:textId="08357B04" w:rsidR="00725D20" w:rsidRDefault="008A20C7" w:rsidP="00336FD0">
      <w:pPr>
        <w:pStyle w:val="ListParagraph"/>
      </w:pPr>
      <w:r>
        <w:rPr>
          <w:noProof/>
        </w:rPr>
        <w:drawing>
          <wp:inline distT="0" distB="0" distL="0" distR="0" wp14:anchorId="1F386006" wp14:editId="79DAF005">
            <wp:extent cx="5285659" cy="290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0155" cy="2911237"/>
                    </a:xfrm>
                    <a:prstGeom prst="rect">
                      <a:avLst/>
                    </a:prstGeom>
                    <a:noFill/>
                  </pic:spPr>
                </pic:pic>
              </a:graphicData>
            </a:graphic>
          </wp:inline>
        </w:drawing>
      </w:r>
    </w:p>
    <w:p w14:paraId="2565B4C6" w14:textId="77777777" w:rsidR="00725D20" w:rsidRDefault="00725D20" w:rsidP="00336FD0">
      <w:pPr>
        <w:pStyle w:val="ListParagraph"/>
      </w:pPr>
    </w:p>
    <w:p w14:paraId="2FEB2C13" w14:textId="30301EDB" w:rsidR="00725D20" w:rsidRDefault="00725D20" w:rsidP="00336FD0">
      <w:pPr>
        <w:pStyle w:val="ListParagraph"/>
      </w:pPr>
      <w:r>
        <w:t xml:space="preserve">In the example above, we can see one </w:t>
      </w:r>
      <w:r w:rsidR="00004D34">
        <w:t>method</w:t>
      </w:r>
      <w:r>
        <w:t xml:space="preserve"> to translate SOI text into a method. For demonstration purposes this method has not been scaled up or down, which is </w:t>
      </w:r>
      <w:r w:rsidR="008A20C7">
        <w:t>justified in 5.2.2</w:t>
      </w:r>
      <w:r>
        <w:t xml:space="preserve">. </w:t>
      </w:r>
      <w:r w:rsidR="00017C83">
        <w:t>So</w:t>
      </w:r>
      <w:r w:rsidR="008A20C7">
        <w:t xml:space="preserve">, we are going to read the method, imagine ourselves performing the protocol in the lab, then select the correct block to accomplish each physical task. </w:t>
      </w:r>
      <w:r>
        <w:t xml:space="preserve">First, we </w:t>
      </w:r>
      <w:r w:rsidR="008A20C7">
        <w:t>can see there are two “containers” being used: A sample container, and a reduction container.</w:t>
      </w:r>
      <w:r>
        <w:t xml:space="preserve"> </w:t>
      </w:r>
      <w:r w:rsidR="008A20C7">
        <w:t xml:space="preserve">So, </w:t>
      </w:r>
      <w:r w:rsidR="008A20C7">
        <w:lastRenderedPageBreak/>
        <w:t>we will</w:t>
      </w:r>
      <w:r>
        <w:t xml:space="preserve"> </w:t>
      </w:r>
      <w:r w:rsidR="008A20C7">
        <w:t xml:space="preserve">add </w:t>
      </w:r>
      <w:r>
        <w:t>a plate where the sample is expected to be located</w:t>
      </w:r>
      <w:r w:rsidR="008A20C7">
        <w:t xml:space="preserve"> (Sample) and</w:t>
      </w:r>
      <w:r>
        <w:t xml:space="preserve"> a plate where we will perform the method</w:t>
      </w:r>
      <w:r w:rsidR="008A20C7">
        <w:t xml:space="preserve"> (Reduction)</w:t>
      </w:r>
      <w:r>
        <w:t xml:space="preserve">. </w:t>
      </w:r>
      <w:r w:rsidR="008A20C7">
        <w:t>Then</w:t>
      </w:r>
      <w:r>
        <w:t xml:space="preserve">, the method requests that we dilute a sample solution to </w:t>
      </w:r>
      <w:proofErr w:type="spellStart"/>
      <w:r>
        <w:t>10mg</w:t>
      </w:r>
      <w:proofErr w:type="spellEnd"/>
      <w:r>
        <w:t xml:space="preserve">/mL in </w:t>
      </w:r>
      <w:proofErr w:type="spellStart"/>
      <w:r>
        <w:t>30uL</w:t>
      </w:r>
      <w:proofErr w:type="spellEnd"/>
      <w:r>
        <w:t xml:space="preserve">, and the obvious best block for this is the Dilute block. </w:t>
      </w:r>
      <w:r w:rsidR="00017C83">
        <w:t xml:space="preserve">We may not know the </w:t>
      </w:r>
      <w:r w:rsidR="00017C83">
        <w:rPr>
          <w:b/>
          <w:bCs/>
        </w:rPr>
        <w:t>Starting Concentration (mg/mL)</w:t>
      </w:r>
      <w:r w:rsidR="00017C83">
        <w:t xml:space="preserve"> ahead of time, so we can create a worklist column where to user will enter the information. </w:t>
      </w:r>
      <w:r>
        <w:t xml:space="preserve">Next, we are transferring 2 solutions to our diluted sample: </w:t>
      </w:r>
      <w:proofErr w:type="spellStart"/>
      <w:r>
        <w:t>257uL</w:t>
      </w:r>
      <w:proofErr w:type="spellEnd"/>
      <w:r>
        <w:t xml:space="preserve"> of </w:t>
      </w:r>
      <w:proofErr w:type="spellStart"/>
      <w:r>
        <w:t>7M</w:t>
      </w:r>
      <w:proofErr w:type="spellEnd"/>
      <w:r>
        <w:t xml:space="preserve"> </w:t>
      </w:r>
      <w:proofErr w:type="spellStart"/>
      <w:r>
        <w:t>GnHCl</w:t>
      </w:r>
      <w:proofErr w:type="spellEnd"/>
      <w:r>
        <w:t xml:space="preserve"> in </w:t>
      </w:r>
      <w:proofErr w:type="spellStart"/>
      <w:r>
        <w:t>100mM</w:t>
      </w:r>
      <w:proofErr w:type="spellEnd"/>
      <w:r>
        <w:t xml:space="preserve"> Tris pH 8.2 and </w:t>
      </w:r>
      <w:proofErr w:type="spellStart"/>
      <w:r>
        <w:t>3uL</w:t>
      </w:r>
      <w:proofErr w:type="spellEnd"/>
      <w:r>
        <w:t xml:space="preserve"> of </w:t>
      </w:r>
      <w:proofErr w:type="spellStart"/>
      <w:r>
        <w:t>0.5M</w:t>
      </w:r>
      <w:proofErr w:type="spellEnd"/>
      <w:r>
        <w:t xml:space="preserve"> TCEP, and the best block for this is two Liquid Transfer blocks. Finally, we are instructed to incubate for 55 minutes at </w:t>
      </w:r>
      <w:proofErr w:type="spellStart"/>
      <w:r>
        <w:t>40C</w:t>
      </w:r>
      <w:proofErr w:type="spellEnd"/>
      <w:r>
        <w:t>, so we will use an Incubate block.</w:t>
      </w:r>
    </w:p>
    <w:p w14:paraId="4B462A63" w14:textId="5F10F62A" w:rsidR="0009157C" w:rsidRDefault="0009157C" w:rsidP="00336FD0">
      <w:pPr>
        <w:pStyle w:val="Heading3"/>
      </w:pPr>
      <w:r>
        <w:t>Translating an SOI Effectively</w:t>
      </w:r>
    </w:p>
    <w:p w14:paraId="51EABBB2" w14:textId="19A3EEA4" w:rsidR="00AE3BD4" w:rsidRDefault="00AE3BD4" w:rsidP="00AE3BD4">
      <w:pPr>
        <w:pStyle w:val="ListParagraph"/>
      </w:pPr>
      <w:r>
        <w:t xml:space="preserve">In section 5.5.1 we showed a simple example to translate an SOI into an automated workflow. In most cases, however, it will be necessary to scale volume to better suit a Hamilton system. </w:t>
      </w:r>
    </w:p>
    <w:p w14:paraId="7C8CFB90" w14:textId="77777777" w:rsidR="00AE3BD4" w:rsidRDefault="00AE3BD4" w:rsidP="00AE3BD4">
      <w:pPr>
        <w:pStyle w:val="ListParagraph"/>
      </w:pPr>
    </w:p>
    <w:p w14:paraId="066461E5" w14:textId="4086ADEF" w:rsidR="00AE3BD4" w:rsidRPr="00AE3BD4" w:rsidRDefault="00AE3BD4" w:rsidP="00AE3BD4">
      <w:pPr>
        <w:pStyle w:val="ListParagraph"/>
      </w:pPr>
      <w:r>
        <w:t xml:space="preserve">For example, ABN Hamilton systems typically have plates that support </w:t>
      </w:r>
      <w:proofErr w:type="spellStart"/>
      <w:r>
        <w:t>200uL</w:t>
      </w:r>
      <w:proofErr w:type="spellEnd"/>
      <w:r>
        <w:t xml:space="preserve">, </w:t>
      </w:r>
      <w:proofErr w:type="spellStart"/>
      <w:r>
        <w:t>400uL</w:t>
      </w:r>
      <w:proofErr w:type="spellEnd"/>
      <w:r>
        <w:t xml:space="preserve">, </w:t>
      </w:r>
      <w:proofErr w:type="spellStart"/>
      <w:r>
        <w:t>1200uL</w:t>
      </w:r>
      <w:proofErr w:type="spellEnd"/>
      <w:r>
        <w:t xml:space="preserve">, and </w:t>
      </w:r>
      <w:proofErr w:type="spellStart"/>
      <w:r>
        <w:t>2000uL</w:t>
      </w:r>
      <w:proofErr w:type="spellEnd"/>
      <w:r>
        <w:t xml:space="preserve">. So, it would not be wise to have a total volume of </w:t>
      </w:r>
      <w:proofErr w:type="spellStart"/>
      <w:r>
        <w:t>450uL</w:t>
      </w:r>
      <w:proofErr w:type="spellEnd"/>
      <w:r>
        <w:t xml:space="preserve"> in a </w:t>
      </w:r>
      <w:proofErr w:type="spellStart"/>
      <w:r>
        <w:t>1200uL</w:t>
      </w:r>
      <w:proofErr w:type="spellEnd"/>
      <w:r>
        <w:t xml:space="preserve"> plate. Instead, we will scale the volumes, either up or down, to ensure that the volume is suitable for a given plate size. ABN will, of course, select the best plate for a given method, but it is important to design around a specific plate size. This ensures the method will be robust for all users.</w:t>
      </w:r>
    </w:p>
    <w:p w14:paraId="28C089FE" w14:textId="63B9FE71" w:rsidR="00E33253" w:rsidRDefault="00E33253" w:rsidP="00E33253">
      <w:pPr>
        <w:pStyle w:val="ListParagraph"/>
      </w:pPr>
    </w:p>
    <w:p w14:paraId="44CCB0A4" w14:textId="73200ED0" w:rsidR="00AD1F94" w:rsidRDefault="00AE3BD4" w:rsidP="00E33253">
      <w:pPr>
        <w:pStyle w:val="ListParagraph"/>
      </w:pPr>
      <w:r>
        <w:t xml:space="preserve">As another example, methods are possible where the final volume is </w:t>
      </w:r>
      <w:proofErr w:type="spellStart"/>
      <w:r>
        <w:t>1200uL</w:t>
      </w:r>
      <w:proofErr w:type="spellEnd"/>
      <w:r>
        <w:t xml:space="preserve">, but there is a </w:t>
      </w:r>
      <w:proofErr w:type="spellStart"/>
      <w:r>
        <w:t>100uL</w:t>
      </w:r>
      <w:proofErr w:type="spellEnd"/>
      <w:r>
        <w:t xml:space="preserve"> incubation before the final dilution to </w:t>
      </w:r>
      <w:proofErr w:type="spellStart"/>
      <w:r>
        <w:t>1200uL</w:t>
      </w:r>
      <w:proofErr w:type="spellEnd"/>
      <w:r>
        <w:t xml:space="preserve">. In this case we would want to use two plates. We would have one small plate for the </w:t>
      </w:r>
      <w:proofErr w:type="spellStart"/>
      <w:r>
        <w:t>100uL</w:t>
      </w:r>
      <w:proofErr w:type="spellEnd"/>
      <w:r>
        <w:t xml:space="preserve"> </w:t>
      </w:r>
      <w:r w:rsidR="00AD1F94">
        <w:t>incubation</w:t>
      </w:r>
      <w:r>
        <w:t xml:space="preserve"> (</w:t>
      </w:r>
      <w:r w:rsidRPr="001A5D53">
        <w:rPr>
          <w:b/>
          <w:bCs/>
        </w:rPr>
        <w:t>Name</w:t>
      </w:r>
      <w:r>
        <w:t xml:space="preserve">: </w:t>
      </w:r>
      <w:r w:rsidR="001A5D53">
        <w:t>“</w:t>
      </w:r>
      <w:r>
        <w:t>Low Vol Incubation</w:t>
      </w:r>
      <w:r w:rsidR="001A5D53">
        <w:t>”</w:t>
      </w:r>
      <w:r>
        <w:t>) and one large plate for the dilution (</w:t>
      </w:r>
      <w:r w:rsidRPr="001A5D53">
        <w:rPr>
          <w:b/>
          <w:bCs/>
        </w:rPr>
        <w:t>Name</w:t>
      </w:r>
      <w:r>
        <w:t xml:space="preserve">: </w:t>
      </w:r>
      <w:r w:rsidR="001A5D53">
        <w:t>“</w:t>
      </w:r>
      <w:r>
        <w:t>High Vol dilution</w:t>
      </w:r>
      <w:r w:rsidR="001A5D53">
        <w:t>”</w:t>
      </w:r>
      <w:r>
        <w:t xml:space="preserve">). </w:t>
      </w:r>
      <w:r w:rsidR="00AD1F94">
        <w:t xml:space="preserve">Then </w:t>
      </w:r>
      <w:r w:rsidR="00751451">
        <w:t>after the</w:t>
      </w:r>
      <w:r w:rsidR="00AD1F94">
        <w:t xml:space="preserve"> incubation we can transfer the </w:t>
      </w:r>
      <w:proofErr w:type="spellStart"/>
      <w:r w:rsidR="00AD1F94">
        <w:t>100uL</w:t>
      </w:r>
      <w:proofErr w:type="spellEnd"/>
      <w:r w:rsidR="00751451">
        <w:t xml:space="preserve"> from the small plate</w:t>
      </w:r>
      <w:r w:rsidR="00AD1F94">
        <w:t xml:space="preserve"> into the larger plate for final dilution.</w:t>
      </w:r>
    </w:p>
    <w:p w14:paraId="7A6F84B0" w14:textId="77777777" w:rsidR="00AD1F94" w:rsidRDefault="00AD1F94" w:rsidP="00E33253">
      <w:pPr>
        <w:pStyle w:val="ListParagraph"/>
      </w:pPr>
    </w:p>
    <w:p w14:paraId="3A94D423" w14:textId="13D3FB83" w:rsidR="00AE3BD4" w:rsidRPr="00E33253" w:rsidRDefault="00AD1F94" w:rsidP="00E33253">
      <w:pPr>
        <w:pStyle w:val="ListParagraph"/>
      </w:pPr>
      <w:r>
        <w:t xml:space="preserve">As a method designer it is important to make these considerations to ensure method robustness. This is true if you are designing a method in ABN or in the Hamilton programming software. ABN is merely an interface to simplify method creation </w:t>
      </w:r>
      <w:r w:rsidR="001A5D53">
        <w:t>and execution for</w:t>
      </w:r>
      <w:r>
        <w:t xml:space="preserve"> all users. It </w:t>
      </w:r>
      <w:r w:rsidR="00751451">
        <w:t>cannot</w:t>
      </w:r>
      <w:r>
        <w:t xml:space="preserve"> guard against poor method design. </w:t>
      </w:r>
    </w:p>
    <w:p w14:paraId="52661043" w14:textId="183421D6" w:rsidR="00742C0C" w:rsidRDefault="00C62759" w:rsidP="00742C0C">
      <w:pPr>
        <w:pStyle w:val="Heading2"/>
      </w:pPr>
      <w:bookmarkStart w:id="24" w:name="MethodCreationMethodTesting"/>
      <w:r>
        <w:t>Method Testing</w:t>
      </w:r>
      <w:r w:rsidR="00001D9C">
        <w:t xml:space="preserve"> and Validation</w:t>
      </w:r>
    </w:p>
    <w:bookmarkEnd w:id="24"/>
    <w:p w14:paraId="52BE9119" w14:textId="64992BA2" w:rsidR="005E1658" w:rsidRDefault="005E1658" w:rsidP="00001D9C">
      <w:pPr>
        <w:pStyle w:val="Heading3"/>
      </w:pPr>
      <w:r>
        <w:t>Types of Tests</w:t>
      </w:r>
    </w:p>
    <w:p w14:paraId="51736B0C" w14:textId="77777777" w:rsidR="000F03F7" w:rsidRDefault="000A6459" w:rsidP="000A6459">
      <w:pPr>
        <w:pStyle w:val="ListParagraph"/>
      </w:pPr>
      <w:r>
        <w:t>There are two types of tests in ABN: Programmatic, and Physical. ABN software is design</w:t>
      </w:r>
      <w:r w:rsidR="00E129EC">
        <w:t>ed</w:t>
      </w:r>
      <w:r>
        <w:t xml:space="preserve"> to expedite method delivery time. As such, in almost all cases a programmatic test is sufficient when writing a method.</w:t>
      </w:r>
      <w:r w:rsidR="00E129EC">
        <w:t xml:space="preserve"> </w:t>
      </w:r>
    </w:p>
    <w:p w14:paraId="1A49EB78" w14:textId="77777777" w:rsidR="000F03F7" w:rsidRDefault="000F03F7" w:rsidP="000A6459">
      <w:pPr>
        <w:pStyle w:val="ListParagraph"/>
      </w:pPr>
    </w:p>
    <w:p w14:paraId="68E90F5F" w14:textId="77777777" w:rsidR="000F03F7" w:rsidRDefault="00E129EC" w:rsidP="000A6459">
      <w:pPr>
        <w:pStyle w:val="ListParagraph"/>
      </w:pPr>
      <w:r>
        <w:t>A programmatic test</w:t>
      </w:r>
      <w:r w:rsidR="000F03F7">
        <w:t xml:space="preserve"> is when ABN runs the software before method execution on a Hamilton. Programmatic testing can capture both logic and runtime errors. Additionally, this testing type will generate a </w:t>
      </w:r>
      <w:proofErr w:type="spellStart"/>
      <w:r w:rsidR="000F03F7">
        <w:t>TestLog</w:t>
      </w:r>
      <w:proofErr w:type="spellEnd"/>
      <w:r w:rsidR="000F03F7">
        <w:t xml:space="preserve"> sheet in the excel workbook where the method creator can read and confirm steps are occurring as intended.</w:t>
      </w:r>
    </w:p>
    <w:p w14:paraId="1A61A691" w14:textId="77777777" w:rsidR="000F03F7" w:rsidRDefault="000F03F7" w:rsidP="000A6459">
      <w:pPr>
        <w:pStyle w:val="ListParagraph"/>
      </w:pPr>
    </w:p>
    <w:p w14:paraId="22EB0E62" w14:textId="24130513" w:rsidR="000A6459" w:rsidRDefault="000F03F7" w:rsidP="000A6459">
      <w:pPr>
        <w:pStyle w:val="ListParagraph"/>
      </w:pPr>
      <w:r>
        <w:lastRenderedPageBreak/>
        <w:t>A physical test is when the method creator runs the method on an actual Hamilton system. Physical testing is typically only required during the following: high temperature incubations (</w:t>
      </w:r>
      <w:proofErr w:type="spellStart"/>
      <w:r>
        <w:t>95C</w:t>
      </w:r>
      <w:proofErr w:type="spellEnd"/>
      <w:r>
        <w:t xml:space="preserve">), liquid transfers on extremely volatile solvents, and if </w:t>
      </w:r>
      <w:r w:rsidR="000D64F6">
        <w:t>highly variable blocks such as M</w:t>
      </w:r>
      <w:r>
        <w:t xml:space="preserve">agnetic </w:t>
      </w:r>
      <w:r w:rsidR="000D64F6">
        <w:t>B</w:t>
      </w:r>
      <w:r>
        <w:t xml:space="preserve">eads or </w:t>
      </w:r>
      <w:r w:rsidR="000D64F6">
        <w:t>V</w:t>
      </w:r>
      <w:r>
        <w:t xml:space="preserve">acuum are included. </w:t>
      </w:r>
    </w:p>
    <w:p w14:paraId="17362316" w14:textId="7BD40B2F" w:rsidR="00001D9C" w:rsidRDefault="00001D9C" w:rsidP="00001D9C">
      <w:pPr>
        <w:pStyle w:val="Heading3"/>
      </w:pPr>
      <w:r>
        <w:t>W</w:t>
      </w:r>
      <w:r w:rsidR="00082C94">
        <w:t>hat to look for</w:t>
      </w:r>
    </w:p>
    <w:p w14:paraId="10BE01E3" w14:textId="455EC006" w:rsidR="000D64F6" w:rsidRDefault="000D64F6" w:rsidP="000D64F6">
      <w:pPr>
        <w:pStyle w:val="ListParagraph"/>
      </w:pPr>
      <w:r>
        <w:t xml:space="preserve">As a method creator it is imperative to confirm the correct sequence of events in a </w:t>
      </w:r>
      <w:proofErr w:type="spellStart"/>
      <w:r>
        <w:t>TestLog</w:t>
      </w:r>
      <w:proofErr w:type="spellEnd"/>
      <w:r>
        <w:t xml:space="preserve"> sheet. This is particularly important if modifiers are used in your method. Additionally, if you add new blocks to an already established method you must confirm the new additions in the </w:t>
      </w:r>
      <w:proofErr w:type="spellStart"/>
      <w:r>
        <w:t>TestLog</w:t>
      </w:r>
      <w:proofErr w:type="spellEnd"/>
      <w:r>
        <w:t xml:space="preserve">. Once a method is confirmed there is no reason to check the </w:t>
      </w:r>
      <w:proofErr w:type="spellStart"/>
      <w:r>
        <w:t>TestLog</w:t>
      </w:r>
      <w:proofErr w:type="spellEnd"/>
      <w:r>
        <w:t xml:space="preserve"> in the future.</w:t>
      </w:r>
    </w:p>
    <w:p w14:paraId="5EF974EE" w14:textId="5896D28A" w:rsidR="0073666F" w:rsidRDefault="0073666F" w:rsidP="0073666F">
      <w:pPr>
        <w:pStyle w:val="Heading2"/>
      </w:pPr>
      <w:bookmarkStart w:id="25" w:name="MethodLogs"/>
      <w:r>
        <w:t>Log Sheets</w:t>
      </w:r>
    </w:p>
    <w:bookmarkEnd w:id="25"/>
    <w:p w14:paraId="2D17D5A5" w14:textId="2EA411AF" w:rsidR="0073666F" w:rsidRDefault="0073666F" w:rsidP="0073666F">
      <w:pPr>
        <w:pStyle w:val="Heading3"/>
      </w:pPr>
      <w:r>
        <w:t xml:space="preserve">Log </w:t>
      </w:r>
      <w:r w:rsidR="00442C04">
        <w:t>Contents</w:t>
      </w:r>
    </w:p>
    <w:p w14:paraId="7B371698" w14:textId="6ABAE444" w:rsidR="0073666F" w:rsidRPr="0073666F" w:rsidRDefault="0073666F" w:rsidP="0073666F">
      <w:pPr>
        <w:pStyle w:val="Heading3"/>
      </w:pPr>
      <w:r>
        <w:t>How to Read the Log</w:t>
      </w:r>
    </w:p>
    <w:p w14:paraId="53D1D68F" w14:textId="4F0FC48D" w:rsidR="001061CD" w:rsidRDefault="00793703" w:rsidP="001061CD">
      <w:pPr>
        <w:pStyle w:val="Heading1"/>
      </w:pPr>
      <w:bookmarkStart w:id="26" w:name="BlockDescriptions"/>
      <w:r>
        <w:t>Building block</w:t>
      </w:r>
      <w:r w:rsidR="00456268">
        <w:t xml:space="preserve"> Descriptions</w:t>
      </w:r>
    </w:p>
    <w:bookmarkEnd w:id="26"/>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27" w:name="BlockDescriptionsPathways"/>
      <w:r>
        <w:t>Pathways</w:t>
      </w:r>
    </w:p>
    <w:p w14:paraId="3AC1810D" w14:textId="4E0E59B4" w:rsidR="00086038" w:rsidRDefault="00086038" w:rsidP="00086038">
      <w:pPr>
        <w:pStyle w:val="Heading3"/>
      </w:pPr>
      <w:bookmarkStart w:id="28" w:name="BlockDescriptionsPlate"/>
      <w:bookmarkEnd w:id="27"/>
      <w:r>
        <w:t>Plate</w:t>
      </w:r>
    </w:p>
    <w:bookmarkEnd w:id="28"/>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lastRenderedPageBreak/>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29" w:name="BlockDescriptionsSplitPlate"/>
      <w:r>
        <w:t>Split Plate</w:t>
      </w:r>
    </w:p>
    <w:bookmarkEnd w:id="29"/>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050803E8" w14:textId="77777777" w:rsidR="00BD4AEC" w:rsidRDefault="00BD4AEC" w:rsidP="00F67F4A">
      <w:pPr>
        <w:pStyle w:val="ListParagraph"/>
        <w:rPr>
          <w:b/>
          <w:bCs/>
        </w:rPr>
      </w:pPr>
    </w:p>
    <w:p w14:paraId="14F2E851" w14:textId="16EFB539"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30" w:name="BlockDescriptionsMergePlates"/>
      <w:r>
        <w:t>Merge Plates</w:t>
      </w:r>
    </w:p>
    <w:bookmarkEnd w:id="30"/>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77777777" w:rsidR="00F67F4A" w:rsidRDefault="00EA7104" w:rsidP="00F67F4A">
      <w:pPr>
        <w:pStyle w:val="ListParagraph"/>
      </w:pPr>
      <w:r>
        <w:rPr>
          <w:b/>
          <w:bCs/>
        </w:rPr>
        <w:t>Plate Name:</w:t>
      </w:r>
      <w:r>
        <w:t xml:space="preserve"> </w:t>
      </w:r>
      <w:r w:rsidR="006A21E1">
        <w:t>I</w:t>
      </w:r>
      <w:r>
        <w:t>s the name of the 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31" w:name="BlockDescriptionsFinish"/>
      <w:r>
        <w:lastRenderedPageBreak/>
        <w:t>Finish</w:t>
      </w:r>
    </w:p>
    <w:bookmarkEnd w:id="31"/>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32" w:name="BlockDescriptionsActions"/>
      <w:r>
        <w:t>Actions</w:t>
      </w:r>
    </w:p>
    <w:p w14:paraId="460B604D" w14:textId="20D6CD1B" w:rsidR="00086038" w:rsidRDefault="00086038" w:rsidP="00086038">
      <w:pPr>
        <w:pStyle w:val="Heading3"/>
      </w:pPr>
      <w:bookmarkStart w:id="33" w:name="BlockDescriptionsDilute"/>
      <w:bookmarkEnd w:id="32"/>
      <w:r>
        <w:t>Dilute</w:t>
      </w:r>
    </w:p>
    <w:bookmarkEnd w:id="33"/>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xml:space="preserve">. Behind the scenes, this block is made from two Liquid Transfer blocks. This block will always pipette the largest volume first, which ensures complete transfer down to </w:t>
      </w:r>
      <w:proofErr w:type="spellStart"/>
      <w:r w:rsidR="006A21E1">
        <w:t>1uL</w:t>
      </w:r>
      <w:proofErr w:type="spellEnd"/>
      <w:r w:rsidR="006A21E1">
        <w:t>.</w:t>
      </w:r>
      <w:r w:rsidR="00F67F4A">
        <w:t xml:space="preserve"> </w:t>
      </w:r>
      <w:r w:rsidR="00CB1767">
        <w:t xml:space="preserve">The formula </w:t>
      </w:r>
      <w:proofErr w:type="spellStart"/>
      <w:r w:rsidR="00CB1767">
        <w:t>C1V1</w:t>
      </w:r>
      <w:proofErr w:type="spellEnd"/>
      <w:r w:rsidR="00CB1767">
        <w:t xml:space="preserve"> = </w:t>
      </w:r>
      <w:proofErr w:type="spellStart"/>
      <w:r w:rsidR="00CB1767">
        <w:t>C2V2</w:t>
      </w:r>
      <w:proofErr w:type="spellEnd"/>
      <w:r w:rsidR="00CB1767">
        <w:t xml:space="preserve">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Target Volume (</w:t>
      </w:r>
      <w:proofErr w:type="spellStart"/>
      <w:r>
        <w:rPr>
          <w:b/>
          <w:bCs/>
        </w:rPr>
        <w:t>uL</w:t>
      </w:r>
      <w:proofErr w:type="spellEnd"/>
      <w:r>
        <w:rPr>
          <w:b/>
          <w:bCs/>
        </w:rPr>
        <w:t xml:space="preserve">):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Max Source Volume (</w:t>
      </w:r>
      <w:proofErr w:type="spellStart"/>
      <w:r>
        <w:rPr>
          <w:b/>
          <w:bCs/>
        </w:rPr>
        <w:t>uL</w:t>
      </w:r>
      <w:proofErr w:type="spellEnd"/>
      <w:r>
        <w:rPr>
          <w:b/>
          <w:bCs/>
        </w:rPr>
        <w:t xml:space="preserve">): </w:t>
      </w:r>
      <w:r>
        <w:t xml:space="preserve">Can be any number or a worklist column. This parameter limits how much volume can be taken from the </w:t>
      </w:r>
      <w:r>
        <w:rPr>
          <w:b/>
          <w:bCs/>
        </w:rPr>
        <w:t>S</w:t>
      </w:r>
      <w:r w:rsidRPr="006A21E1">
        <w:rPr>
          <w:b/>
          <w:bCs/>
        </w:rPr>
        <w:t>ource</w:t>
      </w:r>
      <w:r>
        <w:t xml:space="preserve">. Example: If the dilution requires </w:t>
      </w:r>
      <w:proofErr w:type="spellStart"/>
      <w:r>
        <w:t>100uL</w:t>
      </w:r>
      <w:proofErr w:type="spellEnd"/>
      <w:r>
        <w:t xml:space="preserve"> of </w:t>
      </w:r>
      <w:r>
        <w:rPr>
          <w:b/>
          <w:bCs/>
        </w:rPr>
        <w:t>Source</w:t>
      </w:r>
      <w:r>
        <w:t xml:space="preserve"> but this parameter is </w:t>
      </w:r>
      <w:proofErr w:type="spellStart"/>
      <w:r>
        <w:t>80uL</w:t>
      </w:r>
      <w:proofErr w:type="spellEnd"/>
      <w:r>
        <w:t xml:space="preserve">, then only </w:t>
      </w:r>
      <w:proofErr w:type="spellStart"/>
      <w:r>
        <w:t>80uL</w:t>
      </w:r>
      <w:proofErr w:type="spellEnd"/>
      <w:r>
        <w:t xml:space="preserve"> will be taken from </w:t>
      </w:r>
      <w:r>
        <w:rPr>
          <w:b/>
          <w:bCs/>
        </w:rPr>
        <w:t>S</w:t>
      </w:r>
      <w:r w:rsidRPr="006A21E1">
        <w:rPr>
          <w:b/>
          <w:bCs/>
        </w:rPr>
        <w:t>ource</w:t>
      </w:r>
      <w:r>
        <w:t xml:space="preserve">. The remaining </w:t>
      </w:r>
      <w:proofErr w:type="spellStart"/>
      <w:r>
        <w:t>20uL</w:t>
      </w:r>
      <w:proofErr w:type="spellEnd"/>
      <w:r>
        <w:t xml:space="preserve"> will be taken from </w:t>
      </w:r>
      <w:r>
        <w:rPr>
          <w:b/>
          <w:bCs/>
        </w:rPr>
        <w:t>Diluent.</w:t>
      </w:r>
    </w:p>
    <w:p w14:paraId="08DFBC51" w14:textId="75680062" w:rsidR="00086038" w:rsidRDefault="00086038" w:rsidP="00086038">
      <w:pPr>
        <w:pStyle w:val="Heading3"/>
      </w:pPr>
      <w:bookmarkStart w:id="34" w:name="BlockDescriptionsIMCSSizeXDesalt"/>
      <w:r>
        <w:lastRenderedPageBreak/>
        <w:t>IMCS SizeX Desalt</w:t>
      </w:r>
    </w:p>
    <w:bookmarkEnd w:id="34"/>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68F2FAE2"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w:t>
      </w:r>
      <w:proofErr w:type="spellStart"/>
      <w:r w:rsidR="00D266B8">
        <w:t>SizeX100</w:t>
      </w:r>
      <w:proofErr w:type="spellEnd"/>
      <w:r w:rsidR="00D266B8">
        <w:t xml:space="preserve"> is supported.</w:t>
      </w:r>
      <w:r w:rsidR="009B30B0">
        <w:t xml:space="preserve"> </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008109D0"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r w:rsidR="009B30B0">
        <w:t xml:space="preserve"> Additionally, the load concentration for IMCS tips should be </w:t>
      </w:r>
      <w:proofErr w:type="spellStart"/>
      <w:r w:rsidR="009B30B0">
        <w:t>1mg</w:t>
      </w:r>
      <w:proofErr w:type="spellEnd"/>
      <w:r w:rsidR="009B30B0">
        <w:t>/mL if possible.</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w:t>
      </w:r>
      <w:proofErr w:type="spellStart"/>
      <w:r>
        <w:t>Nap5</w:t>
      </w:r>
      <w:proofErr w:type="spellEnd"/>
      <w:r>
        <w:t xml:space="preserve">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35" w:name="BlockDescriptionsIncubate"/>
      <w:r>
        <w:t>Incubate</w:t>
      </w:r>
    </w:p>
    <w:bookmarkEnd w:id="35"/>
    <w:p w14:paraId="5B9651AF" w14:textId="3069CCED" w:rsidR="00EC2A3C" w:rsidRDefault="00EC2A3C" w:rsidP="00F67F4A">
      <w:pPr>
        <w:pStyle w:val="ListParagraph"/>
      </w:pPr>
      <w:r w:rsidRPr="00EC2A3C">
        <w:rPr>
          <w:noProof/>
        </w:rPr>
        <w:drawing>
          <wp:inline distT="0" distB="0" distL="0" distR="0" wp14:anchorId="00B448C4" wp14:editId="269AD761">
            <wp:extent cx="5033010" cy="78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777777" w:rsidR="00F67F4A" w:rsidRDefault="00D266B8" w:rsidP="00F67F4A">
      <w:pPr>
        <w:pStyle w:val="ListParagraph"/>
      </w:pPr>
      <w:r>
        <w:rPr>
          <w:b/>
          <w:bCs/>
        </w:rPr>
        <w:t xml:space="preserve">Temp (C): </w:t>
      </w:r>
      <w:r>
        <w:t>Can be Ambient or a number.</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36" w:name="BlockDescriptionsLiquidTransfer"/>
      <w:r>
        <w:lastRenderedPageBreak/>
        <w:t>Liquid Transfer</w:t>
      </w:r>
    </w:p>
    <w:bookmarkEnd w:id="36"/>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w:t>
      </w:r>
      <w:proofErr w:type="spellStart"/>
      <w:r>
        <w:rPr>
          <w:b/>
          <w:bCs/>
        </w:rPr>
        <w:t>uL</w:t>
      </w:r>
      <w:proofErr w:type="spellEnd"/>
      <w:r>
        <w:rPr>
          <w:b/>
          <w:bCs/>
        </w:rPr>
        <w:t>):</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37" w:name="BlockDescriptionsMagneticBeads"/>
      <w:r>
        <w:t>Magnetic Beads</w:t>
      </w:r>
    </w:p>
    <w:bookmarkEnd w:id="37"/>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w:t>
      </w:r>
      <w:proofErr w:type="spellStart"/>
      <w:r w:rsidR="00C53C52">
        <w:rPr>
          <w:b/>
          <w:bCs/>
        </w:rPr>
        <w:t>uL</w:t>
      </w:r>
      <w:proofErr w:type="spellEnd"/>
      <w:r w:rsidR="00C53C52">
        <w:rPr>
          <w:b/>
          <w:bCs/>
        </w:rPr>
        <w:t>)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w:t>
      </w:r>
      <w:proofErr w:type="spellStart"/>
      <w:r>
        <w:rPr>
          <w:b/>
          <w:bCs/>
        </w:rPr>
        <w:t>uL</w:t>
      </w:r>
      <w:proofErr w:type="spellEnd"/>
      <w:r>
        <w:rPr>
          <w:b/>
          <w:bCs/>
        </w:rPr>
        <w:t>):</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t>Repetitions:</w:t>
      </w:r>
      <w:r w:rsidR="00C53C52">
        <w:t xml:space="preserve"> Can be a number</w:t>
      </w:r>
    </w:p>
    <w:p w14:paraId="6BA2BD7D" w14:textId="73950610" w:rsidR="00086038" w:rsidRDefault="00086038" w:rsidP="00086038">
      <w:pPr>
        <w:pStyle w:val="Heading3"/>
      </w:pPr>
      <w:bookmarkStart w:id="38" w:name="BlockDescriptionsNotify"/>
      <w:r>
        <w:lastRenderedPageBreak/>
        <w:t>Notify</w:t>
      </w:r>
    </w:p>
    <w:bookmarkEnd w:id="38"/>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09DD2753" w14:textId="0FFDF79E" w:rsidR="00C53C52" w:rsidRPr="00C53C52" w:rsidRDefault="00C53C52" w:rsidP="00F67F4A">
      <w:pPr>
        <w:pStyle w:val="ListParagraph"/>
      </w:pPr>
      <w:r>
        <w:rPr>
          <w:b/>
          <w:bCs/>
        </w:rPr>
        <w:t>Message:</w:t>
      </w:r>
      <w:r>
        <w:t xml:space="preserve"> Can be text.</w:t>
      </w:r>
    </w:p>
    <w:p w14:paraId="7D4CEFBC" w14:textId="02F9BA7B" w:rsidR="00086038" w:rsidRDefault="00086038" w:rsidP="00086038">
      <w:pPr>
        <w:pStyle w:val="Heading3"/>
      </w:pPr>
      <w:bookmarkStart w:id="39" w:name="BlockDescriptionsVacuum"/>
      <w:r>
        <w:t>Vacuum</w:t>
      </w:r>
    </w:p>
    <w:bookmarkEnd w:id="39"/>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Pressure Difference (</w:t>
      </w:r>
      <w:proofErr w:type="spellStart"/>
      <w:r w:rsidR="00A801EB">
        <w:rPr>
          <w:b/>
          <w:bCs/>
        </w:rPr>
        <w:t>mtorr</w:t>
      </w:r>
      <w:proofErr w:type="spellEnd"/>
      <w:r w:rsidR="00A801EB">
        <w:rPr>
          <w:b/>
          <w:bCs/>
        </w:rPr>
        <w:t>)</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w:t>
      </w:r>
      <w:proofErr w:type="spellStart"/>
      <w:r>
        <w:rPr>
          <w:b/>
          <w:bCs/>
        </w:rPr>
        <w:t>uL</w:t>
      </w:r>
      <w:proofErr w:type="spellEnd"/>
      <w:r>
        <w:rPr>
          <w:b/>
          <w:bCs/>
        </w:rPr>
        <w:t>):</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w:t>
      </w:r>
      <w:proofErr w:type="spellStart"/>
      <w:r>
        <w:rPr>
          <w:b/>
          <w:bCs/>
        </w:rPr>
        <w:t>mtorr</w:t>
      </w:r>
      <w:proofErr w:type="spellEnd"/>
      <w:r>
        <w:rPr>
          <w:b/>
          <w:bCs/>
        </w:rPr>
        <w:t>):</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E44C4E">
      <w:pPr>
        <w:pStyle w:val="Heading2"/>
      </w:pPr>
      <w:bookmarkStart w:id="40" w:name="BlockDescriptionsModifiers"/>
      <w:r>
        <w:t>Modifiers</w:t>
      </w:r>
    </w:p>
    <w:p w14:paraId="66AF1B0B" w14:textId="38664262" w:rsidR="00086038" w:rsidRDefault="00086038" w:rsidP="00086038">
      <w:pPr>
        <w:pStyle w:val="Heading3"/>
      </w:pPr>
      <w:bookmarkStart w:id="41" w:name="BlockDescriptionsAliquot"/>
      <w:bookmarkEnd w:id="40"/>
      <w:r>
        <w:t>Aliquot</w:t>
      </w:r>
    </w:p>
    <w:bookmarkEnd w:id="41"/>
    <w:p w14:paraId="460D80AB" w14:textId="3EE38521" w:rsidR="00742C0C" w:rsidRDefault="00742C0C" w:rsidP="00F67F4A">
      <w:pPr>
        <w:pStyle w:val="ListParagraph"/>
      </w:pPr>
      <w:r w:rsidRPr="00742C0C">
        <w:rPr>
          <w:noProof/>
        </w:rPr>
        <w:drawing>
          <wp:inline distT="0" distB="0" distL="0" distR="0" wp14:anchorId="246B1FC6" wp14:editId="2B1EB5C7">
            <wp:extent cx="5033010" cy="78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77198339" w14:textId="77777777" w:rsidR="00701434" w:rsidRDefault="00701434" w:rsidP="00F67F4A">
      <w:pPr>
        <w:pStyle w:val="ListParagraph"/>
        <w:rPr>
          <w:b/>
          <w:bCs/>
        </w:rPr>
      </w:pPr>
    </w:p>
    <w:p w14:paraId="45A2F774" w14:textId="03B2A2BB" w:rsidR="00F67F4A" w:rsidRDefault="00A801EB" w:rsidP="00F67F4A">
      <w:pPr>
        <w:pStyle w:val="ListParagraph"/>
      </w:pPr>
      <w:r>
        <w:rPr>
          <w:b/>
          <w:bCs/>
        </w:rPr>
        <w:t>Block Description:</w:t>
      </w:r>
      <w:r>
        <w:t xml:space="preserve"> This block modifies the </w:t>
      </w:r>
      <w:r w:rsidRPr="00A801EB">
        <w:rPr>
          <w:b/>
          <w:bCs/>
        </w:rPr>
        <w:t>Source</w:t>
      </w:r>
      <w:r>
        <w:t xml:space="preserve"> and parent plate sample knowledge to enable aliquoting. This means that if you perform a Liquid Transfer or Dilute block after this step, the sample location itself will be modified. This allows users to load sample in a single well of the </w:t>
      </w:r>
      <w:r>
        <w:rPr>
          <w:b/>
          <w:bCs/>
        </w:rPr>
        <w:t>Source</w:t>
      </w:r>
      <w:r>
        <w:t xml:space="preserve"> and aliquot into any number of different wells in the destination.</w:t>
      </w:r>
    </w:p>
    <w:p w14:paraId="393601BC" w14:textId="77777777" w:rsidR="00F67F4A" w:rsidRDefault="00F67F4A" w:rsidP="00F67F4A">
      <w:pPr>
        <w:pStyle w:val="ListParagraph"/>
      </w:pPr>
    </w:p>
    <w:p w14:paraId="06F46955" w14:textId="77777777" w:rsidR="00F67F4A" w:rsidRDefault="00A801EB" w:rsidP="00F67F4A">
      <w:pPr>
        <w:pStyle w:val="ListParagraph"/>
      </w:pPr>
      <w:r>
        <w:rPr>
          <w:b/>
          <w:bCs/>
        </w:rPr>
        <w:t>Source:</w:t>
      </w:r>
      <w:r>
        <w:t xml:space="preserve"> Can be a plate name</w:t>
      </w:r>
    </w:p>
    <w:p w14:paraId="7A96FC61" w14:textId="77777777" w:rsidR="00F67F4A" w:rsidRDefault="00F67F4A" w:rsidP="00F67F4A">
      <w:pPr>
        <w:pStyle w:val="ListParagraph"/>
      </w:pPr>
    </w:p>
    <w:p w14:paraId="4805B1CE" w14:textId="77777777" w:rsidR="00F67F4A" w:rsidRDefault="00A801EB" w:rsidP="00F67F4A">
      <w:pPr>
        <w:pStyle w:val="ListParagraph"/>
      </w:pPr>
      <w:r>
        <w:rPr>
          <w:b/>
          <w:bCs/>
        </w:rPr>
        <w:t>Aspirate Location:</w:t>
      </w:r>
      <w:r>
        <w:t xml:space="preserve"> Can be a worklist column</w:t>
      </w:r>
    </w:p>
    <w:p w14:paraId="4521BF2B" w14:textId="77777777" w:rsidR="00F67F4A" w:rsidRDefault="00F67F4A" w:rsidP="00F67F4A">
      <w:pPr>
        <w:pStyle w:val="ListParagraph"/>
      </w:pPr>
    </w:p>
    <w:p w14:paraId="72234CBF" w14:textId="11AEC04A" w:rsidR="00A801EB" w:rsidRPr="00B73A21" w:rsidRDefault="00A801EB" w:rsidP="00F67F4A">
      <w:pPr>
        <w:pStyle w:val="ListParagraph"/>
      </w:pPr>
      <w:r>
        <w:rPr>
          <w:b/>
          <w:bCs/>
        </w:rPr>
        <w:t>Start Position:</w:t>
      </w:r>
      <w:r>
        <w:t xml:space="preserve"> This specifies how the sample knowledge is changed</w:t>
      </w:r>
      <w:r w:rsidR="00B73A21">
        <w:t xml:space="preserve">.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D8AE6F4" w14:textId="5E7EBE0D" w:rsidR="00086038" w:rsidRDefault="00086038" w:rsidP="00086038">
      <w:pPr>
        <w:pStyle w:val="Heading3"/>
      </w:pPr>
      <w:bookmarkStart w:id="42" w:name="BlockDescriptionsPool"/>
      <w:r>
        <w:t>Pool</w:t>
      </w:r>
    </w:p>
    <w:bookmarkEnd w:id="42"/>
    <w:p w14:paraId="3F4DE36C" w14:textId="47408816" w:rsidR="00742C0C" w:rsidRDefault="00742C0C" w:rsidP="00F67F4A">
      <w:pPr>
        <w:pStyle w:val="ListParagraph"/>
      </w:pPr>
      <w:r w:rsidRPr="00742C0C">
        <w:rPr>
          <w:noProof/>
        </w:rPr>
        <w:drawing>
          <wp:inline distT="0" distB="0" distL="0" distR="0" wp14:anchorId="22A732C3" wp14:editId="5D5DC8B5">
            <wp:extent cx="5033010" cy="78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28CC10C1" w:rsidR="00F67F4A" w:rsidRDefault="00A801EB" w:rsidP="00F67F4A">
      <w:pPr>
        <w:pStyle w:val="ListParagraph"/>
      </w:pPr>
      <w:r>
        <w:rPr>
          <w:b/>
          <w:bCs/>
        </w:rPr>
        <w:t>Block Description:</w:t>
      </w:r>
      <w:r w:rsidR="00B73A21">
        <w:rPr>
          <w:b/>
          <w:bCs/>
        </w:rPr>
        <w:t xml:space="preserve"> </w:t>
      </w:r>
      <w:r w:rsidR="00B73A21">
        <w:t xml:space="preserve">This block modifies the </w:t>
      </w:r>
      <w:r w:rsidR="00B73A21" w:rsidRPr="00A801EB">
        <w:rPr>
          <w:b/>
          <w:bCs/>
        </w:rPr>
        <w:t>Source</w:t>
      </w:r>
      <w:r w:rsidR="00B73A21">
        <w:t xml:space="preserve"> and parent plate sample knowledge to enable pooling. This means that if you perform a Liquid Transfer or Dilute block after this step, the sample location itself will be modified. This allows users to take sample from any number of different wells in the </w:t>
      </w:r>
      <w:r w:rsidR="00B73A21">
        <w:rPr>
          <w:b/>
          <w:bCs/>
        </w:rPr>
        <w:t>Source</w:t>
      </w:r>
      <w:r w:rsidR="00B73A21">
        <w:t xml:space="preserve"> and pool into a single well in the destination.</w:t>
      </w:r>
    </w:p>
    <w:p w14:paraId="54E3A5B3" w14:textId="77777777" w:rsidR="00F67F4A" w:rsidRDefault="00F67F4A" w:rsidP="00F67F4A">
      <w:pPr>
        <w:pStyle w:val="ListParagraph"/>
      </w:pPr>
    </w:p>
    <w:p w14:paraId="2CE11FB4" w14:textId="77777777" w:rsidR="00F67F4A" w:rsidRDefault="00A801EB" w:rsidP="00F67F4A">
      <w:pPr>
        <w:pStyle w:val="ListParagraph"/>
      </w:pPr>
      <w:r>
        <w:rPr>
          <w:b/>
          <w:bCs/>
        </w:rPr>
        <w:t>Source:</w:t>
      </w:r>
      <w:r w:rsidR="00B73A21">
        <w:rPr>
          <w:b/>
          <w:bCs/>
        </w:rPr>
        <w:t xml:space="preserve"> </w:t>
      </w:r>
      <w:r w:rsidR="00B73A21">
        <w:t>Can be a plate name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5270EF43"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sample knowledge is changed. Sample Start Position means that the </w:t>
      </w:r>
      <w:r w:rsidR="00B73A21">
        <w:rPr>
          <w:b/>
          <w:bCs/>
        </w:rPr>
        <w:t>Source</w:t>
      </w:r>
      <w:r w:rsidR="00B73A21">
        <w:t xml:space="preserve"> is expected to be loaded at the chosen sample start </w:t>
      </w:r>
      <w:r w:rsidR="00B73A21">
        <w:lastRenderedPageBreak/>
        <w:t xml:space="preserve">location. Plate Start Position means that the </w:t>
      </w:r>
      <w:r w:rsidR="00B73A21">
        <w:rPr>
          <w:b/>
          <w:bCs/>
        </w:rPr>
        <w:t>Source</w:t>
      </w:r>
      <w:r w:rsidR="00B73A21">
        <w:t xml:space="preserve"> is expected to be loaded in the first well.</w:t>
      </w:r>
    </w:p>
    <w:p w14:paraId="5BD0180C" w14:textId="2A5F1C1A" w:rsidR="00086038" w:rsidRDefault="00086038" w:rsidP="00086038">
      <w:pPr>
        <w:pStyle w:val="Heading3"/>
      </w:pPr>
      <w:bookmarkStart w:id="43" w:name="BlockDescriptionsPreloadLiquid"/>
      <w:r>
        <w:t>Preload Liquid</w:t>
      </w:r>
    </w:p>
    <w:bookmarkEnd w:id="43"/>
    <w:p w14:paraId="1DC5CA9E" w14:textId="4880B31C" w:rsidR="00742C0C" w:rsidRDefault="00A801EB" w:rsidP="00F67F4A">
      <w:pPr>
        <w:pStyle w:val="ListParagraph"/>
      </w:pPr>
      <w:r w:rsidRPr="00A801EB">
        <w:rPr>
          <w:noProof/>
        </w:rPr>
        <w:drawing>
          <wp:inline distT="0" distB="0" distL="0" distR="0" wp14:anchorId="6384D87E" wp14:editId="355B4FD9">
            <wp:extent cx="5009515" cy="41338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9515" cy="413385"/>
                    </a:xfrm>
                    <a:prstGeom prst="rect">
                      <a:avLst/>
                    </a:prstGeom>
                    <a:noFill/>
                    <a:ln>
                      <a:noFill/>
                    </a:ln>
                  </pic:spPr>
                </pic:pic>
              </a:graphicData>
            </a:graphic>
          </wp:inline>
        </w:drawing>
      </w:r>
    </w:p>
    <w:p w14:paraId="64FC027F" w14:textId="77777777" w:rsidR="00701434" w:rsidRDefault="00701434" w:rsidP="00F67F4A">
      <w:pPr>
        <w:pStyle w:val="ListParagraph"/>
        <w:rPr>
          <w:b/>
          <w:bCs/>
        </w:rPr>
      </w:pPr>
    </w:p>
    <w:p w14:paraId="5100DD7E" w14:textId="48043898" w:rsidR="00F67F4A" w:rsidRDefault="00A801EB" w:rsidP="00F67F4A">
      <w:pPr>
        <w:pStyle w:val="ListParagraph"/>
      </w:pPr>
      <w:r>
        <w:rPr>
          <w:b/>
          <w:bCs/>
        </w:rPr>
        <w:t>Block Description:</w:t>
      </w:r>
      <w:r w:rsidR="00B73A21">
        <w:t xml:space="preserve"> This block allows the user to inform the Hamilton that the given </w:t>
      </w:r>
      <w:r w:rsidR="00B73A21">
        <w:rPr>
          <w:b/>
          <w:bCs/>
        </w:rPr>
        <w:t>Volume (</w:t>
      </w:r>
      <w:proofErr w:type="spellStart"/>
      <w:r w:rsidR="00B73A21">
        <w:rPr>
          <w:b/>
          <w:bCs/>
        </w:rPr>
        <w:t>uL</w:t>
      </w:r>
      <w:proofErr w:type="spellEnd"/>
      <w:r w:rsidR="00B73A21">
        <w:rPr>
          <w:b/>
          <w:bCs/>
        </w:rPr>
        <w:t>)</w:t>
      </w:r>
      <w:r w:rsidR="00B73A21">
        <w:t xml:space="preserve"> is already present in the wells. This is important because well volume is tracked throughout the entire method execution.</w:t>
      </w:r>
    </w:p>
    <w:p w14:paraId="4C7A3EBD" w14:textId="77777777" w:rsidR="00F67F4A" w:rsidRDefault="00F67F4A" w:rsidP="00F67F4A">
      <w:pPr>
        <w:pStyle w:val="ListParagraph"/>
      </w:pPr>
    </w:p>
    <w:p w14:paraId="766ADC81" w14:textId="293E0CB5" w:rsidR="00A801EB" w:rsidRPr="00B73A21" w:rsidRDefault="00A801EB" w:rsidP="00F67F4A">
      <w:pPr>
        <w:pStyle w:val="ListParagraph"/>
      </w:pPr>
      <w:r>
        <w:rPr>
          <w:b/>
          <w:bCs/>
        </w:rPr>
        <w:t>Volume (</w:t>
      </w:r>
      <w:proofErr w:type="spellStart"/>
      <w:r>
        <w:rPr>
          <w:b/>
          <w:bCs/>
        </w:rPr>
        <w:t>uL</w:t>
      </w:r>
      <w:proofErr w:type="spellEnd"/>
      <w:r>
        <w:rPr>
          <w:b/>
          <w:bCs/>
        </w:rPr>
        <w:t>):</w:t>
      </w:r>
      <w:r w:rsidR="00B73A21">
        <w:rPr>
          <w:b/>
          <w:bCs/>
        </w:rPr>
        <w:t xml:space="preserve"> </w:t>
      </w:r>
      <w:r w:rsidR="00B73A21">
        <w:t>Can be a number or a worklist column</w:t>
      </w:r>
    </w:p>
    <w:p w14:paraId="4E8C7385" w14:textId="77777777" w:rsidR="006F5F64" w:rsidRDefault="00086038" w:rsidP="006F5F64">
      <w:pPr>
        <w:pStyle w:val="Heading1"/>
      </w:pPr>
      <w:bookmarkStart w:id="44" w:name="MethodRun"/>
      <w:r>
        <w:t>Run a method</w:t>
      </w:r>
    </w:p>
    <w:bookmarkEnd w:id="44"/>
    <w:p w14:paraId="5C4359BD" w14:textId="1FAA77A6" w:rsidR="00086038" w:rsidRDefault="00086038" w:rsidP="006F5F64">
      <w:pPr>
        <w:pStyle w:val="NoSpacing"/>
      </w:pPr>
      <w:r>
        <w:t>Work in Progress</w:t>
      </w:r>
    </w:p>
    <w:p w14:paraId="0ADA05E5" w14:textId="77777777" w:rsidR="00381618" w:rsidRDefault="00381618" w:rsidP="00381618">
      <w:pPr>
        <w:pStyle w:val="Heading1"/>
      </w:pPr>
      <w:bookmarkStart w:id="45" w:name="MethodTroubleshooting"/>
      <w:r>
        <w:t>Troubleshooting</w:t>
      </w:r>
    </w:p>
    <w:bookmarkEnd w:id="45"/>
    <w:p w14:paraId="07C94AFC" w14:textId="1D1ACAAF" w:rsidR="00D74088" w:rsidRPr="00995101" w:rsidRDefault="00381618" w:rsidP="00995101">
      <w:pPr>
        <w:pStyle w:val="NoSpacing"/>
      </w:pPr>
      <w:r>
        <w:t>Do I really need this?</w:t>
      </w:r>
    </w:p>
    <w:p w14:paraId="0412E101" w14:textId="77777777" w:rsidR="00CA4C15" w:rsidRPr="00CA4C15" w:rsidRDefault="00CA4C15" w:rsidP="00CA4C15">
      <w:pPr>
        <w:pStyle w:val="Paragraph"/>
      </w:pPr>
    </w:p>
    <w:p w14:paraId="071C1FB4" w14:textId="77777777" w:rsidR="00CA4C15" w:rsidRPr="00CA4C15" w:rsidRDefault="00CA4C15" w:rsidP="00CA4C15">
      <w:pPr>
        <w:pStyle w:val="Paragraph"/>
      </w:pPr>
    </w:p>
    <w:sectPr w:rsidR="00CA4C15" w:rsidRPr="00CA4C15" w:rsidSect="00897935">
      <w:headerReference w:type="default" r:id="rId38"/>
      <w:footerReference w:type="default" r:id="rId39"/>
      <w:headerReference w:type="first" r:id="rId40"/>
      <w:footerReference w:type="first" r:id="rId41"/>
      <w:pgSz w:w="12240" w:h="15840" w:code="1"/>
      <w:pgMar w:top="1440" w:right="1008" w:bottom="720" w:left="172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ilay, Viktoriya" w:date="2022-05-13T08:37:00Z" w:initials="DV">
    <w:p w14:paraId="12070158" w14:textId="40521A4E" w:rsidR="00C14DF4" w:rsidRDefault="00C14DF4">
      <w:pPr>
        <w:pStyle w:val="CommentText"/>
      </w:pPr>
      <w:r>
        <w:rPr>
          <w:rStyle w:val="CommentReference"/>
        </w:rPr>
        <w:annotationRef/>
      </w:r>
      <w:r>
        <w:t xml:space="preserve">Rephrase </w:t>
      </w:r>
    </w:p>
  </w:comment>
  <w:comment w:id="11" w:author="Bare, Bradley" w:date="2022-05-13T11:24:00Z" w:initials="BB">
    <w:p w14:paraId="7B42A5F7" w14:textId="14BC1BA7" w:rsidR="00702638" w:rsidRDefault="00702638">
      <w:pPr>
        <w:pStyle w:val="CommentText"/>
      </w:pPr>
      <w:r>
        <w:rPr>
          <w:rStyle w:val="CommentReference"/>
        </w:rPr>
        <w:annotationRef/>
      </w:r>
      <w:r>
        <w:t>I think removing linear fixed it</w:t>
      </w:r>
    </w:p>
  </w:comment>
  <w:comment w:id="13" w:author="Dilay, Viktoriya" w:date="2022-05-13T08:39:00Z" w:initials="DV">
    <w:p w14:paraId="6C3A2DFC" w14:textId="0064B86E" w:rsidR="00BE0289" w:rsidRDefault="00BE0289">
      <w:pPr>
        <w:pStyle w:val="CommentText"/>
      </w:pPr>
      <w:r>
        <w:rPr>
          <w:rStyle w:val="CommentReference"/>
        </w:rPr>
        <w:annotationRef/>
      </w:r>
      <w:r>
        <w:t xml:space="preserve">Maybe include an example of how it does that </w:t>
      </w:r>
      <w:r w:rsidR="005F6D45">
        <w:t xml:space="preserve">or list the characteristics </w:t>
      </w:r>
    </w:p>
    <w:p w14:paraId="3C2E0A68" w14:textId="77777777" w:rsidR="005F6D45" w:rsidRDefault="005F6D45">
      <w:pPr>
        <w:pStyle w:val="CommentText"/>
      </w:pPr>
    </w:p>
    <w:p w14:paraId="6F1E63C7" w14:textId="762B0A61" w:rsidR="00BE0289" w:rsidRDefault="00BE0289">
      <w:pPr>
        <w:pStyle w:val="CommentText"/>
      </w:pPr>
    </w:p>
  </w:comment>
  <w:comment w:id="14" w:author="Bare, Bradley" w:date="2022-05-13T10:47:00Z" w:initials="BB">
    <w:p w14:paraId="2BECA537" w14:textId="74D698B8" w:rsidR="008A20C7" w:rsidRDefault="008A20C7">
      <w:pPr>
        <w:pStyle w:val="CommentText"/>
      </w:pPr>
      <w:r>
        <w:rPr>
          <w:rStyle w:val="CommentReference"/>
        </w:rPr>
        <w:annotationRef/>
      </w:r>
      <w:r>
        <w:t xml:space="preserve">Does the following figure and paragraph do that sufficiently? I may need to add page </w:t>
      </w:r>
      <w:proofErr w:type="gramStart"/>
      <w:r>
        <w:t>breaks</w:t>
      </w:r>
      <w:proofErr w:type="gramEnd"/>
      <w:r>
        <w:t xml:space="preserve"> so it is easier to follow.</w:t>
      </w:r>
    </w:p>
  </w:comment>
  <w:comment w:id="15" w:author="Dilay, Viktoriya" w:date="2022-05-13T08:59:00Z" w:initials="DV">
    <w:p w14:paraId="002C9266" w14:textId="77777777" w:rsidR="00D03291" w:rsidRDefault="00D03291">
      <w:pPr>
        <w:pStyle w:val="CommentText"/>
      </w:pPr>
      <w:r>
        <w:rPr>
          <w:rStyle w:val="CommentReference"/>
        </w:rPr>
        <w:annotationRef/>
      </w:r>
      <w:r>
        <w:t xml:space="preserve">Yes add the page break so that the worklist interference paragraph is immediately followed by the example below </w:t>
      </w:r>
    </w:p>
    <w:p w14:paraId="7779C9F6" w14:textId="6129158C" w:rsidR="00D03291" w:rsidRDefault="00D03291">
      <w:pPr>
        <w:pStyle w:val="CommentText"/>
      </w:pPr>
    </w:p>
  </w:comment>
  <w:comment w:id="17" w:author="Dilay, Viktoriya" w:date="2022-05-13T08:42:00Z" w:initials="DV">
    <w:p w14:paraId="157A3D62" w14:textId="77777777" w:rsidR="008619FC" w:rsidRDefault="008619FC">
      <w:pPr>
        <w:pStyle w:val="CommentText"/>
      </w:pPr>
      <w:r>
        <w:rPr>
          <w:rStyle w:val="CommentReference"/>
        </w:rPr>
        <w:annotationRef/>
      </w:r>
      <w:r>
        <w:t xml:space="preserve">Delete </w:t>
      </w:r>
    </w:p>
    <w:p w14:paraId="13EA8B39" w14:textId="0A1780BD" w:rsidR="008619FC" w:rsidRDefault="008619FC">
      <w:pPr>
        <w:pStyle w:val="CommentText"/>
      </w:pPr>
      <w:r>
        <w:t>Just go “Above, the sample plate has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070158" w15:done="0"/>
  <w15:commentEx w15:paraId="7B42A5F7" w15:paraIdParent="12070158" w15:done="0"/>
  <w15:commentEx w15:paraId="6F1E63C7" w15:done="1"/>
  <w15:commentEx w15:paraId="2BECA537" w15:paraIdParent="6F1E63C7" w15:done="1"/>
  <w15:commentEx w15:paraId="7779C9F6" w15:paraIdParent="6F1E63C7" w15:done="1"/>
  <w15:commentEx w15:paraId="13EA8B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B35D" w16cex:dateUtc="2022-05-13T15:37:00Z"/>
  <w16cex:commentExtensible w16cex:durableId="2628BE5D" w16cex:dateUtc="2022-05-13T16:24:00Z"/>
  <w16cex:commentExtensible w16cex:durableId="2628B3E4" w16cex:dateUtc="2022-05-13T15:39:00Z"/>
  <w16cex:commentExtensible w16cex:durableId="2628B5B0" w16cex:dateUtc="2022-05-13T15:47:00Z"/>
  <w16cex:commentExtensible w16cex:durableId="2628B890" w16cex:dateUtc="2022-05-13T15:59:00Z"/>
  <w16cex:commentExtensible w16cex:durableId="2628B479" w16cex:dateUtc="2022-05-13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070158" w16cid:durableId="2628B35D"/>
  <w16cid:commentId w16cid:paraId="7B42A5F7" w16cid:durableId="2628BE5D"/>
  <w16cid:commentId w16cid:paraId="6F1E63C7" w16cid:durableId="2628B3E4"/>
  <w16cid:commentId w16cid:paraId="2BECA537" w16cid:durableId="2628B5B0"/>
  <w16cid:commentId w16cid:paraId="7779C9F6" w16cid:durableId="2628B890"/>
  <w16cid:commentId w16cid:paraId="13EA8B39" w16cid:durableId="2628B4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3205" w14:textId="77777777" w:rsidR="007203C5" w:rsidRDefault="007203C5" w:rsidP="00246DA0">
      <w:pPr>
        <w:pStyle w:val="Heading3Text"/>
      </w:pPr>
      <w:r>
        <w:separator/>
      </w:r>
    </w:p>
    <w:p w14:paraId="00D0BAAB" w14:textId="77777777" w:rsidR="007203C5" w:rsidRDefault="007203C5"/>
  </w:endnote>
  <w:endnote w:type="continuationSeparator" w:id="0">
    <w:p w14:paraId="2B8790E7" w14:textId="77777777" w:rsidR="007203C5" w:rsidRDefault="007203C5" w:rsidP="00246DA0">
      <w:pPr>
        <w:pStyle w:val="Heading3Text"/>
      </w:pPr>
      <w:r>
        <w:continuationSeparator/>
      </w:r>
    </w:p>
    <w:p w14:paraId="0ACEC104" w14:textId="77777777" w:rsidR="007203C5" w:rsidRDefault="007203C5"/>
  </w:endnote>
  <w:endnote w:type="continuationNotice" w:id="1">
    <w:p w14:paraId="0AA6640A" w14:textId="77777777" w:rsidR="007E2F89" w:rsidRDefault="007E2F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w:t>
    </w:r>
    <w:proofErr w:type="spellStart"/>
    <w:r>
      <w:t>T01</w:t>
    </w:r>
    <w:proofErr w:type="spellEnd"/>
    <w:r>
      <w:t xml:space="preserve"> (Remove this from footer of GPS)</w:t>
    </w:r>
  </w:p>
  <w:p w14:paraId="43DF04A5" w14:textId="77777777" w:rsidR="00412CB0" w:rsidRDefault="00412CB0">
    <w:r>
      <w:t xml:space="preserve">EFFECTIVE: </w:t>
    </w:r>
    <w:proofErr w:type="spellStart"/>
    <w:r>
      <w:t>01JUL2006</w:t>
    </w:r>
    <w:proofErr w:type="spellEnd"/>
    <w:r>
      <w:t xml:space="preserve">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A655" w14:textId="77777777" w:rsidR="007203C5" w:rsidRDefault="007203C5" w:rsidP="00246DA0">
      <w:pPr>
        <w:pStyle w:val="Heading3Text"/>
      </w:pPr>
      <w:r>
        <w:separator/>
      </w:r>
    </w:p>
    <w:p w14:paraId="7D140BFA" w14:textId="77777777" w:rsidR="007203C5" w:rsidRDefault="007203C5"/>
  </w:footnote>
  <w:footnote w:type="continuationSeparator" w:id="0">
    <w:p w14:paraId="2FB7B834" w14:textId="77777777" w:rsidR="007203C5" w:rsidRDefault="007203C5" w:rsidP="00246DA0">
      <w:pPr>
        <w:pStyle w:val="Heading3Text"/>
      </w:pPr>
      <w:r>
        <w:continuationSeparator/>
      </w:r>
    </w:p>
    <w:p w14:paraId="36225D30" w14:textId="77777777" w:rsidR="007203C5" w:rsidRDefault="007203C5"/>
  </w:footnote>
  <w:footnote w:type="continuationNotice" w:id="1">
    <w:p w14:paraId="29B766BB" w14:textId="77777777" w:rsidR="007E2F89" w:rsidRDefault="007E2F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proofErr w:type="spellStart"/>
          <w:r w:rsidRPr="00A72C83">
            <w:t>Page</w:t>
          </w:r>
          <w:r>
            <w:fldChar w:fldCharType="begin"/>
          </w:r>
          <w:r>
            <w:instrText xml:space="preserve"> PAGE  \* MERGEFORMAT </w:instrText>
          </w:r>
          <w:r>
            <w:fldChar w:fldCharType="separate"/>
          </w:r>
          <w:r>
            <w:rPr>
              <w:noProof/>
            </w:rPr>
            <w:t>11</w:t>
          </w:r>
          <w:proofErr w:type="spellEnd"/>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proofErr w:type="spellStart"/>
          <w:r w:rsidRPr="00A72C83">
            <w:t>PGRD</w:t>
          </w:r>
          <w:proofErr w:type="spellEnd"/>
          <w:r w:rsidRPr="00A72C83">
            <w:t xml:space="preserve">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 xml:space="preserve">Global </w:t>
          </w:r>
          <w:proofErr w:type="spellStart"/>
          <w:r w:rsidRPr="00A72C83">
            <w:t>PharmaceuTICAL</w:t>
          </w:r>
          <w:proofErr w:type="spellEnd"/>
          <w:r w:rsidRPr="00A72C83">
            <w:t xml:space="preserve">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 xml:space="preserve">GPS-XXX-### </w:t>
          </w:r>
          <w:proofErr w:type="spellStart"/>
          <w:r w:rsidRPr="00A72C83">
            <w:t>VX.0</w:t>
          </w:r>
          <w:proofErr w:type="spellEnd"/>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fldSimple w:instr=" NUMPAGES ">
            <w:r>
              <w:rPr>
                <w:noProof/>
              </w:rPr>
              <w:t>11</w:t>
            </w:r>
          </w:fldSimple>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proofErr w:type="spellStart"/>
          <w:r w:rsidRPr="00A72C83">
            <w:t>DDMMMYYYY</w:t>
          </w:r>
          <w:proofErr w:type="spellEnd"/>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proofErr w:type="spellStart"/>
          <w:r w:rsidRPr="00A72C83">
            <w:t>MMMYYYY</w:t>
          </w:r>
          <w:proofErr w:type="spellEnd"/>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652C1DAF"/>
    <w:multiLevelType w:val="hybridMultilevel"/>
    <w:tmpl w:val="EA88E1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20"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1"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2"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3"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20"/>
  </w:num>
  <w:num w:numId="3">
    <w:abstractNumId w:val="23"/>
  </w:num>
  <w:num w:numId="4">
    <w:abstractNumId w:val="2"/>
  </w:num>
  <w:num w:numId="5">
    <w:abstractNumId w:val="4"/>
  </w:num>
  <w:num w:numId="6">
    <w:abstractNumId w:val="22"/>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9"/>
  </w:num>
  <w:num w:numId="20">
    <w:abstractNumId w:val="11"/>
  </w:num>
  <w:num w:numId="21">
    <w:abstractNumId w:val="21"/>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lay, Viktoriya">
    <w15:presenceInfo w15:providerId="AD" w15:userId="S::DILAYV@pfizer.com::ccfcc081-5f1e-4871-8839-0c128086c97a"/>
  </w15:person>
  <w15:person w15:author="Bare, Bradley">
    <w15:presenceInfo w15:providerId="AD" w15:userId="S::BAREB@pfizer.com::f9de4af7-8248-4cf9-bbf0-2d01ea658d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4D34"/>
    <w:rsid w:val="00007E20"/>
    <w:rsid w:val="0001096A"/>
    <w:rsid w:val="000113B8"/>
    <w:rsid w:val="00012AD8"/>
    <w:rsid w:val="0001543A"/>
    <w:rsid w:val="00017A8F"/>
    <w:rsid w:val="00017C83"/>
    <w:rsid w:val="000301AA"/>
    <w:rsid w:val="000312E3"/>
    <w:rsid w:val="00031BFF"/>
    <w:rsid w:val="00032BC1"/>
    <w:rsid w:val="00035AD3"/>
    <w:rsid w:val="000406AA"/>
    <w:rsid w:val="00041527"/>
    <w:rsid w:val="00043E70"/>
    <w:rsid w:val="00050105"/>
    <w:rsid w:val="0005029C"/>
    <w:rsid w:val="0005049B"/>
    <w:rsid w:val="00056880"/>
    <w:rsid w:val="000754F8"/>
    <w:rsid w:val="00076A4C"/>
    <w:rsid w:val="00076D60"/>
    <w:rsid w:val="00077DB7"/>
    <w:rsid w:val="00082C94"/>
    <w:rsid w:val="00086038"/>
    <w:rsid w:val="0009157C"/>
    <w:rsid w:val="00093E8B"/>
    <w:rsid w:val="000945FE"/>
    <w:rsid w:val="00094D85"/>
    <w:rsid w:val="000A2E18"/>
    <w:rsid w:val="000A413E"/>
    <w:rsid w:val="000A6459"/>
    <w:rsid w:val="000B20F5"/>
    <w:rsid w:val="000B241D"/>
    <w:rsid w:val="000B2848"/>
    <w:rsid w:val="000C05A8"/>
    <w:rsid w:val="000C67F7"/>
    <w:rsid w:val="000C70D2"/>
    <w:rsid w:val="000D64F6"/>
    <w:rsid w:val="000D74C6"/>
    <w:rsid w:val="000D74F4"/>
    <w:rsid w:val="000E0AC1"/>
    <w:rsid w:val="000E1F8F"/>
    <w:rsid w:val="000E69E3"/>
    <w:rsid w:val="000E7A7C"/>
    <w:rsid w:val="000F03F7"/>
    <w:rsid w:val="000F2197"/>
    <w:rsid w:val="000F438C"/>
    <w:rsid w:val="000F616F"/>
    <w:rsid w:val="001056A1"/>
    <w:rsid w:val="001061CD"/>
    <w:rsid w:val="001114DB"/>
    <w:rsid w:val="0011179E"/>
    <w:rsid w:val="00112117"/>
    <w:rsid w:val="001224B4"/>
    <w:rsid w:val="00122C70"/>
    <w:rsid w:val="001230C4"/>
    <w:rsid w:val="001249F1"/>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90C92"/>
    <w:rsid w:val="001910B9"/>
    <w:rsid w:val="00191643"/>
    <w:rsid w:val="00194F49"/>
    <w:rsid w:val="001A58E7"/>
    <w:rsid w:val="001A5D53"/>
    <w:rsid w:val="001A5F5A"/>
    <w:rsid w:val="001A6128"/>
    <w:rsid w:val="001B23E6"/>
    <w:rsid w:val="001B3E75"/>
    <w:rsid w:val="001B6852"/>
    <w:rsid w:val="001B69D4"/>
    <w:rsid w:val="001C0186"/>
    <w:rsid w:val="001C19C9"/>
    <w:rsid w:val="001C2FCF"/>
    <w:rsid w:val="001C3A83"/>
    <w:rsid w:val="001C3EAA"/>
    <w:rsid w:val="001C4B04"/>
    <w:rsid w:val="001D25B2"/>
    <w:rsid w:val="001D68C6"/>
    <w:rsid w:val="001D7236"/>
    <w:rsid w:val="001D7342"/>
    <w:rsid w:val="001F3D52"/>
    <w:rsid w:val="001F6F79"/>
    <w:rsid w:val="00207330"/>
    <w:rsid w:val="00215C5C"/>
    <w:rsid w:val="00216D33"/>
    <w:rsid w:val="00226F47"/>
    <w:rsid w:val="00233E70"/>
    <w:rsid w:val="00246DA0"/>
    <w:rsid w:val="00250379"/>
    <w:rsid w:val="00251B74"/>
    <w:rsid w:val="00257A83"/>
    <w:rsid w:val="00262A54"/>
    <w:rsid w:val="002636A2"/>
    <w:rsid w:val="00274CA7"/>
    <w:rsid w:val="00275F60"/>
    <w:rsid w:val="00281C20"/>
    <w:rsid w:val="002904B5"/>
    <w:rsid w:val="00292D15"/>
    <w:rsid w:val="0029408C"/>
    <w:rsid w:val="002A29FC"/>
    <w:rsid w:val="002B3562"/>
    <w:rsid w:val="002B48F7"/>
    <w:rsid w:val="002B50AE"/>
    <w:rsid w:val="002D1B62"/>
    <w:rsid w:val="002D42E3"/>
    <w:rsid w:val="002D4E49"/>
    <w:rsid w:val="002D5CCB"/>
    <w:rsid w:val="002D649B"/>
    <w:rsid w:val="002D7E3C"/>
    <w:rsid w:val="002D7F74"/>
    <w:rsid w:val="002E279A"/>
    <w:rsid w:val="002E389C"/>
    <w:rsid w:val="002E45BC"/>
    <w:rsid w:val="002F01F7"/>
    <w:rsid w:val="002F0349"/>
    <w:rsid w:val="002F16E8"/>
    <w:rsid w:val="002F233A"/>
    <w:rsid w:val="002F27E3"/>
    <w:rsid w:val="00301CE8"/>
    <w:rsid w:val="00302353"/>
    <w:rsid w:val="00306481"/>
    <w:rsid w:val="003112EB"/>
    <w:rsid w:val="003125F7"/>
    <w:rsid w:val="00313FCD"/>
    <w:rsid w:val="003206B3"/>
    <w:rsid w:val="003215AB"/>
    <w:rsid w:val="003231B5"/>
    <w:rsid w:val="00331B76"/>
    <w:rsid w:val="003369ED"/>
    <w:rsid w:val="00336FD0"/>
    <w:rsid w:val="00341C26"/>
    <w:rsid w:val="00344C8B"/>
    <w:rsid w:val="003566E5"/>
    <w:rsid w:val="003576CF"/>
    <w:rsid w:val="00360681"/>
    <w:rsid w:val="0036426E"/>
    <w:rsid w:val="00365000"/>
    <w:rsid w:val="00367D93"/>
    <w:rsid w:val="00372168"/>
    <w:rsid w:val="003773F6"/>
    <w:rsid w:val="00380145"/>
    <w:rsid w:val="00380440"/>
    <w:rsid w:val="00381618"/>
    <w:rsid w:val="003865C1"/>
    <w:rsid w:val="003969CF"/>
    <w:rsid w:val="003A1E5F"/>
    <w:rsid w:val="003A2F48"/>
    <w:rsid w:val="003A6A3B"/>
    <w:rsid w:val="003A6E8F"/>
    <w:rsid w:val="003B3AC8"/>
    <w:rsid w:val="003B4287"/>
    <w:rsid w:val="003B4890"/>
    <w:rsid w:val="003B7DC3"/>
    <w:rsid w:val="003C1A0C"/>
    <w:rsid w:val="003C1BAC"/>
    <w:rsid w:val="003C20FF"/>
    <w:rsid w:val="003C221C"/>
    <w:rsid w:val="003C271B"/>
    <w:rsid w:val="003C7B60"/>
    <w:rsid w:val="003D1E95"/>
    <w:rsid w:val="003D4FCB"/>
    <w:rsid w:val="003E35D4"/>
    <w:rsid w:val="003E424E"/>
    <w:rsid w:val="003E550B"/>
    <w:rsid w:val="003E61A9"/>
    <w:rsid w:val="003F2771"/>
    <w:rsid w:val="00405B25"/>
    <w:rsid w:val="004107D0"/>
    <w:rsid w:val="00412C51"/>
    <w:rsid w:val="00412CB0"/>
    <w:rsid w:val="00415250"/>
    <w:rsid w:val="00416B70"/>
    <w:rsid w:val="00420813"/>
    <w:rsid w:val="004228CA"/>
    <w:rsid w:val="004251DD"/>
    <w:rsid w:val="00426478"/>
    <w:rsid w:val="00427B2C"/>
    <w:rsid w:val="00432C5C"/>
    <w:rsid w:val="00436AB3"/>
    <w:rsid w:val="0044232B"/>
    <w:rsid w:val="00442C04"/>
    <w:rsid w:val="004441C1"/>
    <w:rsid w:val="004456B0"/>
    <w:rsid w:val="00447632"/>
    <w:rsid w:val="00447EF5"/>
    <w:rsid w:val="00456268"/>
    <w:rsid w:val="004605F6"/>
    <w:rsid w:val="0046528A"/>
    <w:rsid w:val="0046529C"/>
    <w:rsid w:val="0047489D"/>
    <w:rsid w:val="00480252"/>
    <w:rsid w:val="004851EC"/>
    <w:rsid w:val="00487948"/>
    <w:rsid w:val="00490271"/>
    <w:rsid w:val="00490723"/>
    <w:rsid w:val="004918A0"/>
    <w:rsid w:val="004A04CA"/>
    <w:rsid w:val="004A40B8"/>
    <w:rsid w:val="004A50AF"/>
    <w:rsid w:val="004A533F"/>
    <w:rsid w:val="004A6746"/>
    <w:rsid w:val="004A753B"/>
    <w:rsid w:val="004B056A"/>
    <w:rsid w:val="004B3FE2"/>
    <w:rsid w:val="004B415A"/>
    <w:rsid w:val="004C31FC"/>
    <w:rsid w:val="004C33C5"/>
    <w:rsid w:val="004C7D79"/>
    <w:rsid w:val="004D3F66"/>
    <w:rsid w:val="004D6EFD"/>
    <w:rsid w:val="004E181C"/>
    <w:rsid w:val="004E6E94"/>
    <w:rsid w:val="004F289D"/>
    <w:rsid w:val="004F59B4"/>
    <w:rsid w:val="004F6A55"/>
    <w:rsid w:val="005037ED"/>
    <w:rsid w:val="005040D6"/>
    <w:rsid w:val="00504B1B"/>
    <w:rsid w:val="00510F6B"/>
    <w:rsid w:val="00515A5E"/>
    <w:rsid w:val="00516343"/>
    <w:rsid w:val="005207FE"/>
    <w:rsid w:val="00522044"/>
    <w:rsid w:val="00525A52"/>
    <w:rsid w:val="00530846"/>
    <w:rsid w:val="00531510"/>
    <w:rsid w:val="0053159B"/>
    <w:rsid w:val="00533800"/>
    <w:rsid w:val="00537728"/>
    <w:rsid w:val="00553524"/>
    <w:rsid w:val="00554486"/>
    <w:rsid w:val="00560896"/>
    <w:rsid w:val="005725E1"/>
    <w:rsid w:val="00581AF3"/>
    <w:rsid w:val="00587F77"/>
    <w:rsid w:val="00592934"/>
    <w:rsid w:val="005945F7"/>
    <w:rsid w:val="005A1F18"/>
    <w:rsid w:val="005A2E99"/>
    <w:rsid w:val="005A337F"/>
    <w:rsid w:val="005A3DF5"/>
    <w:rsid w:val="005C19AE"/>
    <w:rsid w:val="005C26E9"/>
    <w:rsid w:val="005C4CF8"/>
    <w:rsid w:val="005C6623"/>
    <w:rsid w:val="005C6C2E"/>
    <w:rsid w:val="005C77E5"/>
    <w:rsid w:val="005D527D"/>
    <w:rsid w:val="005D5FDB"/>
    <w:rsid w:val="005D6B07"/>
    <w:rsid w:val="005E1658"/>
    <w:rsid w:val="005E429C"/>
    <w:rsid w:val="005E4857"/>
    <w:rsid w:val="005F0C9A"/>
    <w:rsid w:val="005F1D50"/>
    <w:rsid w:val="005F5F82"/>
    <w:rsid w:val="005F6D45"/>
    <w:rsid w:val="00601A73"/>
    <w:rsid w:val="00605930"/>
    <w:rsid w:val="0061334A"/>
    <w:rsid w:val="00616C46"/>
    <w:rsid w:val="00616C7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2FF9"/>
    <w:rsid w:val="00663E6F"/>
    <w:rsid w:val="00666BA7"/>
    <w:rsid w:val="006744C1"/>
    <w:rsid w:val="00676BCE"/>
    <w:rsid w:val="006858FA"/>
    <w:rsid w:val="00685A5E"/>
    <w:rsid w:val="006911CE"/>
    <w:rsid w:val="0069160B"/>
    <w:rsid w:val="006936A4"/>
    <w:rsid w:val="00693EBB"/>
    <w:rsid w:val="006955E5"/>
    <w:rsid w:val="006962FD"/>
    <w:rsid w:val="00697330"/>
    <w:rsid w:val="006A18BB"/>
    <w:rsid w:val="006A21E1"/>
    <w:rsid w:val="006A4BC5"/>
    <w:rsid w:val="006A5E02"/>
    <w:rsid w:val="006B3712"/>
    <w:rsid w:val="006B3940"/>
    <w:rsid w:val="006C02B2"/>
    <w:rsid w:val="006C2B46"/>
    <w:rsid w:val="006C68BF"/>
    <w:rsid w:val="006C75DD"/>
    <w:rsid w:val="006D04FB"/>
    <w:rsid w:val="006D21C0"/>
    <w:rsid w:val="006D434D"/>
    <w:rsid w:val="006D51DE"/>
    <w:rsid w:val="006E25E8"/>
    <w:rsid w:val="006E6D99"/>
    <w:rsid w:val="006F32C1"/>
    <w:rsid w:val="006F5F64"/>
    <w:rsid w:val="0070138F"/>
    <w:rsid w:val="00701434"/>
    <w:rsid w:val="00702638"/>
    <w:rsid w:val="0071483D"/>
    <w:rsid w:val="00715CB1"/>
    <w:rsid w:val="007172C8"/>
    <w:rsid w:val="007203C5"/>
    <w:rsid w:val="00724983"/>
    <w:rsid w:val="00725D20"/>
    <w:rsid w:val="00726C45"/>
    <w:rsid w:val="00735208"/>
    <w:rsid w:val="0073666F"/>
    <w:rsid w:val="007421BD"/>
    <w:rsid w:val="00742C0C"/>
    <w:rsid w:val="00744CB1"/>
    <w:rsid w:val="00745D53"/>
    <w:rsid w:val="00746BB0"/>
    <w:rsid w:val="00751451"/>
    <w:rsid w:val="007521BD"/>
    <w:rsid w:val="007522DC"/>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2F89"/>
    <w:rsid w:val="007E6004"/>
    <w:rsid w:val="007F0EF7"/>
    <w:rsid w:val="007F35AF"/>
    <w:rsid w:val="0080194B"/>
    <w:rsid w:val="00802E37"/>
    <w:rsid w:val="0080395A"/>
    <w:rsid w:val="008076B4"/>
    <w:rsid w:val="008111C0"/>
    <w:rsid w:val="00811673"/>
    <w:rsid w:val="00814496"/>
    <w:rsid w:val="00815B21"/>
    <w:rsid w:val="00817187"/>
    <w:rsid w:val="00817DC4"/>
    <w:rsid w:val="00821B6E"/>
    <w:rsid w:val="00821D8D"/>
    <w:rsid w:val="00827B5E"/>
    <w:rsid w:val="00831B15"/>
    <w:rsid w:val="008365B6"/>
    <w:rsid w:val="00840360"/>
    <w:rsid w:val="0084667D"/>
    <w:rsid w:val="00851081"/>
    <w:rsid w:val="00851C09"/>
    <w:rsid w:val="008619FC"/>
    <w:rsid w:val="008648FD"/>
    <w:rsid w:val="00871C06"/>
    <w:rsid w:val="0087424F"/>
    <w:rsid w:val="008812AA"/>
    <w:rsid w:val="0088490D"/>
    <w:rsid w:val="00895519"/>
    <w:rsid w:val="008959B3"/>
    <w:rsid w:val="00897935"/>
    <w:rsid w:val="008A20C7"/>
    <w:rsid w:val="008A3AA7"/>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107A9"/>
    <w:rsid w:val="009111C8"/>
    <w:rsid w:val="009140DA"/>
    <w:rsid w:val="00921CD7"/>
    <w:rsid w:val="00933D36"/>
    <w:rsid w:val="009375FE"/>
    <w:rsid w:val="00937966"/>
    <w:rsid w:val="0094081A"/>
    <w:rsid w:val="00941D11"/>
    <w:rsid w:val="0095280A"/>
    <w:rsid w:val="00955253"/>
    <w:rsid w:val="009554B4"/>
    <w:rsid w:val="009569C1"/>
    <w:rsid w:val="00956C5C"/>
    <w:rsid w:val="00960CDD"/>
    <w:rsid w:val="009666F4"/>
    <w:rsid w:val="00966AD5"/>
    <w:rsid w:val="0096794E"/>
    <w:rsid w:val="009752E9"/>
    <w:rsid w:val="00980394"/>
    <w:rsid w:val="00980BE4"/>
    <w:rsid w:val="009863B7"/>
    <w:rsid w:val="00993553"/>
    <w:rsid w:val="00995101"/>
    <w:rsid w:val="009956DF"/>
    <w:rsid w:val="00995C31"/>
    <w:rsid w:val="009B30B0"/>
    <w:rsid w:val="009B3106"/>
    <w:rsid w:val="009B718A"/>
    <w:rsid w:val="009C334B"/>
    <w:rsid w:val="009C48AE"/>
    <w:rsid w:val="009C554B"/>
    <w:rsid w:val="009D3E52"/>
    <w:rsid w:val="009E3D2F"/>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4EA1"/>
    <w:rsid w:val="00A26364"/>
    <w:rsid w:val="00A3328C"/>
    <w:rsid w:val="00A352FC"/>
    <w:rsid w:val="00A359C0"/>
    <w:rsid w:val="00A36F9B"/>
    <w:rsid w:val="00A41A56"/>
    <w:rsid w:val="00A41EFA"/>
    <w:rsid w:val="00A434C1"/>
    <w:rsid w:val="00A54C91"/>
    <w:rsid w:val="00A628D5"/>
    <w:rsid w:val="00A66C77"/>
    <w:rsid w:val="00A67BDA"/>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1F94"/>
    <w:rsid w:val="00AD501A"/>
    <w:rsid w:val="00AE35D6"/>
    <w:rsid w:val="00AE3BD4"/>
    <w:rsid w:val="00AE49CA"/>
    <w:rsid w:val="00AE4EEF"/>
    <w:rsid w:val="00AF26F4"/>
    <w:rsid w:val="00AF5C31"/>
    <w:rsid w:val="00B25245"/>
    <w:rsid w:val="00B25858"/>
    <w:rsid w:val="00B25935"/>
    <w:rsid w:val="00B46293"/>
    <w:rsid w:val="00B5018E"/>
    <w:rsid w:val="00B50A68"/>
    <w:rsid w:val="00B54C7E"/>
    <w:rsid w:val="00B56DA7"/>
    <w:rsid w:val="00B571F9"/>
    <w:rsid w:val="00B6501B"/>
    <w:rsid w:val="00B72999"/>
    <w:rsid w:val="00B73A21"/>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4AEC"/>
    <w:rsid w:val="00BD53A9"/>
    <w:rsid w:val="00BD6AFC"/>
    <w:rsid w:val="00BE0289"/>
    <w:rsid w:val="00BE34F2"/>
    <w:rsid w:val="00BE3AC1"/>
    <w:rsid w:val="00BF1581"/>
    <w:rsid w:val="00BF2290"/>
    <w:rsid w:val="00BF2B26"/>
    <w:rsid w:val="00BF5C30"/>
    <w:rsid w:val="00C058E4"/>
    <w:rsid w:val="00C10EC9"/>
    <w:rsid w:val="00C11B5D"/>
    <w:rsid w:val="00C14DF4"/>
    <w:rsid w:val="00C2084D"/>
    <w:rsid w:val="00C2097F"/>
    <w:rsid w:val="00C2443D"/>
    <w:rsid w:val="00C24852"/>
    <w:rsid w:val="00C273B2"/>
    <w:rsid w:val="00C3034E"/>
    <w:rsid w:val="00C305EB"/>
    <w:rsid w:val="00C31780"/>
    <w:rsid w:val="00C4176E"/>
    <w:rsid w:val="00C44067"/>
    <w:rsid w:val="00C46FC5"/>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9C1"/>
    <w:rsid w:val="00CA4C15"/>
    <w:rsid w:val="00CA73CE"/>
    <w:rsid w:val="00CB0487"/>
    <w:rsid w:val="00CB1203"/>
    <w:rsid w:val="00CB1767"/>
    <w:rsid w:val="00CB35E8"/>
    <w:rsid w:val="00CB7BDE"/>
    <w:rsid w:val="00CC0F3B"/>
    <w:rsid w:val="00CC232D"/>
    <w:rsid w:val="00CC2E23"/>
    <w:rsid w:val="00CC42BE"/>
    <w:rsid w:val="00CC502E"/>
    <w:rsid w:val="00CC73C5"/>
    <w:rsid w:val="00CD3A4A"/>
    <w:rsid w:val="00CD7B8C"/>
    <w:rsid w:val="00CE01F7"/>
    <w:rsid w:val="00CE5345"/>
    <w:rsid w:val="00CE7CD3"/>
    <w:rsid w:val="00D00BAA"/>
    <w:rsid w:val="00D01349"/>
    <w:rsid w:val="00D03291"/>
    <w:rsid w:val="00D107A3"/>
    <w:rsid w:val="00D1104E"/>
    <w:rsid w:val="00D1170F"/>
    <w:rsid w:val="00D14957"/>
    <w:rsid w:val="00D2236E"/>
    <w:rsid w:val="00D266B8"/>
    <w:rsid w:val="00D27158"/>
    <w:rsid w:val="00D32F61"/>
    <w:rsid w:val="00D340CD"/>
    <w:rsid w:val="00D35F1E"/>
    <w:rsid w:val="00D42C08"/>
    <w:rsid w:val="00D42D5D"/>
    <w:rsid w:val="00D43CC3"/>
    <w:rsid w:val="00D55CCD"/>
    <w:rsid w:val="00D568E8"/>
    <w:rsid w:val="00D56CD9"/>
    <w:rsid w:val="00D57F2F"/>
    <w:rsid w:val="00D65E79"/>
    <w:rsid w:val="00D707DF"/>
    <w:rsid w:val="00D74088"/>
    <w:rsid w:val="00D76E99"/>
    <w:rsid w:val="00D86647"/>
    <w:rsid w:val="00D9373B"/>
    <w:rsid w:val="00D942DC"/>
    <w:rsid w:val="00D978CA"/>
    <w:rsid w:val="00DA0975"/>
    <w:rsid w:val="00DA0FF8"/>
    <w:rsid w:val="00DA1B20"/>
    <w:rsid w:val="00DA2BC5"/>
    <w:rsid w:val="00DA73D6"/>
    <w:rsid w:val="00DA74AD"/>
    <w:rsid w:val="00DA75F0"/>
    <w:rsid w:val="00DB102E"/>
    <w:rsid w:val="00DB2C63"/>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0543B"/>
    <w:rsid w:val="00E12857"/>
    <w:rsid w:val="00E129EC"/>
    <w:rsid w:val="00E14C24"/>
    <w:rsid w:val="00E16A5F"/>
    <w:rsid w:val="00E20C92"/>
    <w:rsid w:val="00E23C65"/>
    <w:rsid w:val="00E24B3E"/>
    <w:rsid w:val="00E25F41"/>
    <w:rsid w:val="00E25FEA"/>
    <w:rsid w:val="00E32AD7"/>
    <w:rsid w:val="00E32B49"/>
    <w:rsid w:val="00E33253"/>
    <w:rsid w:val="00E3328A"/>
    <w:rsid w:val="00E3341B"/>
    <w:rsid w:val="00E33BB6"/>
    <w:rsid w:val="00E36C4C"/>
    <w:rsid w:val="00E36FEE"/>
    <w:rsid w:val="00E37575"/>
    <w:rsid w:val="00E40433"/>
    <w:rsid w:val="00E42EA5"/>
    <w:rsid w:val="00E45155"/>
    <w:rsid w:val="00E467F4"/>
    <w:rsid w:val="00E50BBD"/>
    <w:rsid w:val="00E51190"/>
    <w:rsid w:val="00E632CD"/>
    <w:rsid w:val="00E70374"/>
    <w:rsid w:val="00E70951"/>
    <w:rsid w:val="00E70977"/>
    <w:rsid w:val="00E70CB2"/>
    <w:rsid w:val="00E723D7"/>
    <w:rsid w:val="00E7421E"/>
    <w:rsid w:val="00E810F2"/>
    <w:rsid w:val="00E8506C"/>
    <w:rsid w:val="00E93EDF"/>
    <w:rsid w:val="00E972B2"/>
    <w:rsid w:val="00E9763F"/>
    <w:rsid w:val="00EA18E6"/>
    <w:rsid w:val="00EA1CFA"/>
    <w:rsid w:val="00EA6974"/>
    <w:rsid w:val="00EA7104"/>
    <w:rsid w:val="00EA7A54"/>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EF60C4"/>
    <w:rsid w:val="00F0515C"/>
    <w:rsid w:val="00F05D27"/>
    <w:rsid w:val="00F06B9E"/>
    <w:rsid w:val="00F07326"/>
    <w:rsid w:val="00F123B0"/>
    <w:rsid w:val="00F172E1"/>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18FE"/>
    <w:rsid w:val="00FA3901"/>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E7F40"/>
    <w:rsid w:val="00FF10EF"/>
    <w:rsid w:val="00FF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ecimalSymbol w:val="."/>
  <w:listSeparator w:val=","/>
  <w14:docId w14:val="6D502B6D"/>
  <w15:docId w15:val="{0EED93F0-5DEE-427A-A8C1-F4B26D13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 w:type="paragraph" w:styleId="Subtitle">
    <w:name w:val="Subtitle"/>
    <w:basedOn w:val="Normal"/>
    <w:next w:val="Normal"/>
    <w:link w:val="SubtitleChar"/>
    <w:qFormat/>
    <w:locked/>
    <w:rsid w:val="00336FD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36FD0"/>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header" Target="header2.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5.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DB941-C40B-483B-A580-C9DDA5BDA887}">
  <ds:schemaRefs>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04550f4b-cf16-427d-819e-1f0e7ada5c82"/>
    <ds:schemaRef ds:uri="http://purl.org/dc/terms/"/>
  </ds:schemaRefs>
</ds:datastoreItem>
</file>

<file path=customXml/itemProps2.xml><?xml version="1.0" encoding="utf-8"?>
<ds:datastoreItem xmlns:ds="http://schemas.openxmlformats.org/officeDocument/2006/customXml" ds:itemID="{A62C1947-D3D2-4646-8F86-819E8A63F964}">
  <ds:schemaRefs>
    <ds:schemaRef ds:uri="http://schemas.microsoft.com/sharepoint/v3/contenttype/forms"/>
  </ds:schemaRefs>
</ds:datastoreItem>
</file>

<file path=customXml/itemProps3.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PREDICT2.dotm</Template>
  <TotalTime>858</TotalTime>
  <Pages>18</Pages>
  <Words>3944</Words>
  <Characters>19824</Characters>
  <Application>Microsoft Office Word</Application>
  <DocSecurity>0</DocSecurity>
  <Lines>165</Lines>
  <Paragraphs>47</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23721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creator>saatia</dc:creator>
  <cp:lastModifiedBy>Bare, Bradley</cp:lastModifiedBy>
  <cp:revision>83</cp:revision>
  <cp:lastPrinted>2022-05-10T15:54:00Z</cp:lastPrinted>
  <dcterms:created xsi:type="dcterms:W3CDTF">2022-05-12T19:52:00Z</dcterms:created>
  <dcterms:modified xsi:type="dcterms:W3CDTF">2022-05-14T17:20:00Z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