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aps/>
          <w:color w:val="595959"/>
          <w:sz w:val="18"/>
          <w:szCs w:val="18"/>
        </w:rPr>
        <w:t xml:space="preserve">Aetherwave / ARK — Internal Research Record</w:t>
      </w:r>
    </w:p>
    <w:p>
      <w:pPr>
        <w:spacing w:after="60"/>
      </w:pPr>
      <w:r>
        <w:rPr>
          <w:b/>
          <w:bCs/>
          <w:color w:val="1F3864"/>
          <w:sz w:val="40"/>
          <w:szCs w:val="40"/>
        </w:rPr>
        <w:t xml:space="preserve">V9.5: Velocity-Only Viscosity-Shape Solver</w:t>
      </w:r>
    </w:p>
    <w:p>
      <w:pPr>
        <w:spacing w:after="160"/>
      </w:pPr>
      <w:r>
        <w:rPr>
          <w:i/>
          <w:iCs/>
          <w:color w:val="2E75B6"/>
          <w:sz w:val="24"/>
          <w:szCs w:val="24"/>
        </w:rPr>
        <w:t xml:space="preserve">A successful methodological failure — closed route, documented mechanism</w:t>
      </w:r>
    </w:p>
    <w:p>
      <w:pPr>
        <w:pBdr>
          <w:bottom w:val="single" w:color="2E75B6" w:sz="6" w:space="1"/>
        </w:pBd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pPr>
              <w:spacing w:after="160" w:line="276"/>
            </w:pPr>
            <w:r>
              <w:rPr>
                <w:b/>
                <w:bCs/>
                <w:sz w:val="20"/>
                <w:szCs w:val="20"/>
              </w:rPr>
              <w:t xml:space="preserve">Status</w:t>
            </w:r>
          </w:p>
        </w:tc>
        <w:tc>
          <w:tcPr>
            <w:tcW w:type="dxa" w:w="66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160" w:line="276"/>
            </w:pPr>
            <w:r>
              <w:rPr>
                <w:sz w:val="20"/>
                <w:szCs w:val="20"/>
              </w:rPr>
              <w:t xml:space="preserve">CLOSED — physical claim refuted by its own null guards</w:t>
            </w:r>
          </w:p>
        </w:tc>
      </w:tr>
      <w:tr>
        <w:tc>
          <w:tcPr>
            <w:tcW w:type="dxa" w:w="270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pPr>
              <w:spacing w:after="160" w:line="276"/>
            </w:pPr>
            <w:r>
              <w:rPr>
                <w:b/>
                <w:bCs/>
                <w:sz w:val="20"/>
                <w:szCs w:val="20"/>
              </w:rPr>
              <w:t xml:space="preserve">Verdict</w:t>
            </w:r>
          </w:p>
        </w:tc>
        <w:tc>
          <w:tcPr>
            <w:tcW w:type="dxa" w:w="66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160" w:line="276"/>
            </w:pPr>
            <w:r>
              <w:rPr>
                <w:sz w:val="20"/>
                <w:szCs w:val="20"/>
              </w:rPr>
              <w:t xml:space="preserve">Successful methodological failure (discipline held; false positive caught pre-publication)</w:t>
            </w:r>
          </w:p>
        </w:tc>
      </w:tr>
      <w:tr>
        <w:tc>
          <w:tcPr>
            <w:tcW w:type="dxa" w:w="270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pPr>
              <w:spacing w:after="160" w:line="276"/>
            </w:pPr>
            <w:r>
              <w:rPr>
                <w:b/>
                <w:bCs/>
                <w:sz w:val="20"/>
                <w:szCs w:val="20"/>
              </w:rPr>
              <w:t xml:space="preserve">Scope</w:t>
            </w:r>
          </w:p>
        </w:tc>
        <w:tc>
          <w:tcPr>
            <w:tcW w:type="dxa" w:w="66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160" w:line="276"/>
            </w:pPr>
            <w:r>
              <w:rPr>
                <w:sz w:val="20"/>
                <w:szCs w:val="20"/>
              </w:rPr>
              <w:t xml:space="preserve">SPARC 175 disk galaxies; 84 well-sampled (N ≥ 15) used for shape/magnitude</w:t>
            </w:r>
          </w:p>
        </w:tc>
      </w:tr>
      <w:tr>
        <w:tc>
          <w:tcPr>
            <w:tcW w:type="dxa" w:w="270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pPr>
              <w:spacing w:after="160" w:line="276"/>
            </w:pPr>
            <w:r>
              <w:rPr>
                <w:b/>
                <w:bCs/>
                <w:sz w:val="20"/>
                <w:szCs w:val="20"/>
              </w:rPr>
              <w:t xml:space="preserve">Constants inserted</w:t>
            </w:r>
          </w:p>
        </w:tc>
        <w:tc>
          <w:tcPr>
            <w:tcW w:type="dxa" w:w="66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160" w:line="276"/>
            </w:pPr>
            <w:r>
              <w:rPr>
                <w:sz w:val="20"/>
                <w:szCs w:val="20"/>
              </w:rPr>
              <w:t xml:space="preserve">None. Photometry sealed from predictor; used only as out-of-sample check</w:t>
            </w:r>
          </w:p>
        </w:tc>
      </w:tr>
      <w:tr>
        <w:tc>
          <w:tcPr>
            <w:tcW w:type="dxa" w:w="270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pPr>
              <w:spacing w:after="160" w:line="276"/>
            </w:pPr>
            <w:r>
              <w:rPr>
                <w:b/>
                <w:bCs/>
                <w:sz w:val="20"/>
                <w:szCs w:val="20"/>
              </w:rPr>
              <w:t xml:space="preserve">What remains valid</w:t>
            </w:r>
          </w:p>
        </w:tc>
        <w:tc>
          <w:tcPr>
            <w:tcW w:type="dxa" w:w="66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160" w:line="276"/>
            </w:pPr>
            <w:r>
              <w:rPr>
                <w:sz w:val="20"/>
                <w:szCs w:val="20"/>
              </w:rPr>
              <w:t xml:space="preserve">The recursion closes: ΔSₜ, Π, ηᶜ compute cleanly from the balance PDE</w:t>
            </w:r>
          </w:p>
        </w:tc>
      </w:tr>
      <w:tr>
        <w:tc>
          <w:tcPr>
            <w:tcW w:type="dxa" w:w="270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pPr>
              <w:spacing w:after="160" w:line="276"/>
            </w:pPr>
            <w:r>
              <w:rPr>
                <w:b/>
                <w:bCs/>
                <w:sz w:val="20"/>
                <w:szCs w:val="20"/>
              </w:rPr>
              <w:t xml:space="preserve">What is dead</w:t>
            </w:r>
          </w:p>
        </w:tc>
        <w:tc>
          <w:tcPr>
            <w:tcW w:type="dxa" w:w="66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160" w:line="276"/>
            </w:pPr>
            <w:r>
              <w:rPr>
                <w:sz w:val="20"/>
                <w:szCs w:val="20"/>
              </w:rPr>
              <w:t xml:space="preserve">The 1D radial η-shape OBSERVABLE — a reciprocal artifact, non-discriminating</w:t>
            </w:r>
          </w:p>
        </w:tc>
      </w:tr>
      <w:tr>
        <w:tc>
          <w:tcPr>
            <w:tcW w:type="dxa" w:w="270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pPr>
              <w:spacing w:after="160" w:line="276"/>
            </w:pPr>
            <w:r>
              <w:rPr>
                <w:b/>
                <w:bCs/>
                <w:sz w:val="20"/>
                <w:szCs w:val="20"/>
              </w:rPr>
              <w:t xml:space="preserve">Open direction (parked)</w:t>
            </w:r>
          </w:p>
        </w:tc>
        <w:tc>
          <w:tcPr>
            <w:tcW w:type="dxa" w:w="66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160" w:line="276"/>
            </w:pPr>
            <w:r>
              <w:rPr>
                <w:sz w:val="20"/>
                <w:szCs w:val="20"/>
              </w:rPr>
              <w:t xml:space="preserve">Directional ε_bulk pressure from galaxy translation — a 2D/3D extension, NOT a patch</w:t>
            </w:r>
          </w:p>
        </w:tc>
      </w:tr>
    </w:tbl>
    <w:p>
      <w:pPr>
        <w:spacing w:after="160" w:line="276"/>
      </w:pPr>
      <w:r>
        <w:rPr>
          <w:b/>
          <w:bCs/>
        </w:rPr>
        <w:t xml:space="preserve">Collaborators: </w:t>
      </w:r>
      <w:r>
        <w:t xml:space="preserve">Paul F. Percy Jr. (framework, physical interpretation, methodological discipline); Theia (implementation, guards, autopsy); Curie (protocol design, verdict logic). Prepared while the mechanism was fresh, per standing practice of recording cleanly-diagnosed negative results into the corpus.</w:t>
      </w:r>
    </w:p>
    <w:p>
      <w:pPr>
        <w:pStyle w:val="Heading1"/>
      </w:pPr>
      <w:r>
        <w:t xml:space="preserve">1. What Was Attempted</w:t>
      </w:r>
    </w:p>
    <w:p>
      <w:pPr>
        <w:spacing w:after="160" w:line="276"/>
      </w:pPr>
      <w:r>
        <w:t xml:space="preserve">V9.5 modeled each galaxy not as a static mass distribution but as a </w:t>
      </w:r>
      <w:r>
        <w:rPr>
          <w:b/>
          <w:bCs/>
        </w:rPr>
        <w:t xml:space="preserve">rotating displacement flow</w:t>
      </w:r>
      <w:r>
        <w:t xml:space="preserve"> in the Aetheric medium. The observed rotation curve V</w:t>
      </w:r>
      <w:r>
        <w:rPr>
          <w:vertAlign w:val="subscript"/>
        </w:rPr>
        <w:t xml:space="preserve">obs</w:t>
      </w:r>
      <w:r>
        <w:t xml:space="preserve">(r) was taken as the sole boundary condition; the ARK balance PDE was then used to determine every other scalar relative to it as a recursive fixed point.</w:t>
      </w:r>
    </w:p>
    <w:p>
      <w:pPr>
        <w:spacing w:after="160" w:line="276"/>
      </w:pPr>
      <w:r>
        <w:t xml:space="preserve">The intended chain: from V</w:t>
      </w:r>
      <w:r>
        <w:rPr>
          <w:vertAlign w:val="subscript"/>
        </w:rPr>
        <w:t xml:space="preserve">obs</w:t>
      </w:r>
      <w:r>
        <w:t xml:space="preserve"> reconstruct θᶜ (causal slope, from the integrated potential) and τᶜ = v√2/c (virial/unit-audit bridge), hence κᶜ = τᶜ/θᶜ. With the recursion-stabilizer Λ set to zero in the quasi-static galaxy limit, the entropy pressure follows directly as Π = −∇·(κᶜ∇θᶜ), from which ΔSₜ and the substrat viscosity ηᶜ = τᶜ/|ΔSₜ| fall out. The bunched (dark-matter-like) versus stretched (dark-energy-like) decomposition was to be read off the </w:t>
      </w:r>
      <w:r>
        <w:rPr>
          <w:i/>
          <w:iCs/>
        </w:rPr>
        <w:t xml:space="preserve">shape</w:t>
      </w:r>
      <w:r>
        <w:t xml:space="preserve"> of ηᶜ(r) — no chosen scale, no fitted constant.</w:t>
      </w:r>
    </w:p>
    <w:p>
      <w:pPr>
        <w:spacing w:after="160" w:line="276"/>
      </w:pPr>
      <w:r>
        <w:t xml:space="preserve">Methodological frame (Paul's standing rule, enforced throughout): no hyperparameters, no constants not derived from measurement, photometry sealed from the predictor and unsealed only as an out-of-sample answer key. The guiding standard: </w:t>
      </w:r>
      <w:r>
        <w:rPr>
          <w:i/>
          <w:iCs/>
        </w:rPr>
        <w:t xml:space="preserve">correct mechanism over tight residuals.</w:t>
      </w:r>
    </w:p>
    <w:p>
      <w:pPr>
        <w:pStyle w:val="Heading1"/>
      </w:pPr>
      <w:r>
        <w:t xml:space="preserve">2. What Initially Looked Promising</w:t>
      </w:r>
    </w:p>
    <w:p>
      <w:pPr>
        <w:spacing w:after="160" w:line="276"/>
      </w:pPr>
      <w:r>
        <w:t xml:space="preserve">On the 84 well-sampled galaxies the reconstruction produced a striking signal: </w:t>
      </w:r>
      <w:r>
        <w:rPr>
          <w:b/>
          <w:bCs/>
        </w:rPr>
        <w:t xml:space="preserve">every single galaxy (84/84) showed the outer ηᶜ exceeding the inner ηᶜ</w:t>
      </w:r>
      <w:r>
        <w:t xml:space="preserve">, by a median factor of roughly 10×. Read through the framework, this looked like a universal bunched-displacement / meniscus regime in the outer medium — precisely the photometry-free signature one would hope corresponds to dark-matter-like behavior.</w:t>
      </w:r>
    </w:p>
    <w:p>
      <w:pPr>
        <w:spacing w:after="160" w:line="276"/>
      </w:pPr>
      <w:r>
        <w:t xml:space="preserve">The η-transition radius existed in every galaxy (median ≈ 10.5 kpc), and on the well-sampled spiral NGC 3198 the two blade-safe boundary treatments (flat-v continuation and measured-edge-slope) agreed. The recursion closed and executed cleanly with zero fitted constants. Taken alone, this was publishable-adjacent.</w:t>
      </w:r>
    </w:p>
    <w:p>
      <w:pPr>
        <w:spacing w:after="160" w:line="276"/>
      </w:pPr>
      <w:r>
        <w:t xml:space="preserve">Curie's caution at this point proved decisive: </w:t>
      </w:r>
      <w:r>
        <w:rPr>
          <w:i/>
          <w:iCs/>
        </w:rPr>
        <w:t xml:space="preserve">“84/84 is almost too clean.”</w:t>
      </w:r>
      <w:r>
        <w:t xml:space="preserve"> A result that universal may be physics — or it may be a mathematical inevitability of the construction. That doubt triggered the guards below before any belief was invested.</w:t>
      </w:r>
    </w:p>
    <w:p>
      <w:pPr>
        <w:pStyle w:val="Heading1"/>
      </w:pPr>
      <w:r>
        <w:t xml:space="preserve">3. What Killed It: The Null Guards</w:t>
      </w:r>
    </w:p>
    <w:p>
      <w:pPr>
        <w:pStyle w:val="Heading2"/>
      </w:pPr>
      <w:r>
        <w:t xml:space="preserve">3.1 Synthetic-curve artifact guard</w:t>
      </w:r>
    </w:p>
    <w:p>
      <w:pPr>
        <w:spacing w:after="160" w:line="276"/>
      </w:pPr>
      <w:r>
        <w:t xml:space="preserve">The identical η-shape solver was run on featureless synthetic rotation curves. A flat line has no physical structure whatsoever; an honest observable should return an outer/inner ratio near 1 for it. Instead, every synthetic curve reproduced the same ~10× 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30"/>
        <w:gridCol w:w="233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160" w:line="276"/>
            </w:pPr>
            <w:r>
              <w:rPr>
                <w:b/>
                <w:bCs/>
                <w:color w:val="FFFFFF"/>
                <w:sz w:val="19"/>
                <w:szCs w:val="19"/>
              </w:rPr>
              <w:t xml:space="preserve">Synthetic curve</w:t>
            </w:r>
          </w:p>
        </w:tc>
        <w:tc>
          <w:tcPr>
            <w:tcW w:type="dxa" w:w="2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160" w:line="276"/>
            </w:pPr>
            <w:r>
              <w:rPr>
                <w:b/>
                <w:bCs/>
                <w:color w:val="FFFFFF"/>
                <w:sz w:val="19"/>
                <w:szCs w:val="19"/>
              </w:rPr>
              <w:t xml:space="preserve">η outer/inner</w:t>
            </w:r>
          </w:p>
        </w:tc>
        <w:tc>
          <w:tcPr>
            <w:tcW w:type="dxa" w:w="233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160" w:line="276"/>
            </w:pPr>
            <w:r>
              <w:rPr>
                <w:b/>
                <w:bCs/>
                <w:color w:val="FFFFFF"/>
                <w:sz w:val="19"/>
                <w:szCs w:val="19"/>
              </w:rPr>
              <w:t xml:space="preserve">r_trans (kpc)</w:t>
            </w:r>
          </w:p>
        </w:tc>
        <w:tc>
          <w:tcPr>
            <w:tcW w:type="dxa" w:w="233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160" w:line="276"/>
            </w:pPr>
            <w:r>
              <w:rPr>
                <w:b/>
                <w:bCs/>
                <w:color w:val="FFFFFF"/>
                <w:sz w:val="19"/>
                <w:szCs w:val="19"/>
              </w:rPr>
              <w:t xml:space="preserve">Reading</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flat (v = const)</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9.53</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5.04</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no structure → still 9.5×</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Keplerian (v∝r⁻¹ᐟ²)</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10.68</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8.82</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falloff → still 10.7×</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solid-body → flat</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9.53</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3.53</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exponential-disk-like</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11.49</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9.58</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w:t>
            </w:r>
          </w:p>
        </w:tc>
      </w:tr>
    </w:tbl>
    <w:p>
      <w:pPr>
        <w:spacing w:after="160" w:line="276"/>
      </w:pPr>
      <w:r>
        <w:t xml:space="preserve">The SPARC-over-synthetic excess factor was </w:t>
      </w:r>
      <w:r>
        <w:rPr>
          <w:b/>
          <w:bCs/>
          <w:color w:val="C00000"/>
        </w:rPr>
        <w:t xml:space="preserve">1.06</w:t>
      </w:r>
      <w:r>
        <w:t xml:space="preserve"> — real galaxies showed essentially the same outer rise as a featureless flat line, a 6% margin over the artifact baseline. The “universal bunching” was overwhelmingly a product of the reconstruction, not the data.</w:t>
      </w:r>
    </w:p>
    <w:p>
      <w:pPr>
        <w:pStyle w:val="Heading2"/>
      </w:pPr>
      <w:r>
        <w:t xml:space="preserve">3.2 Sealed-photometry null comparison</w:t>
      </w:r>
    </w:p>
    <w:p>
      <w:pPr>
        <w:spacing w:after="160" w:line="276"/>
      </w:pPr>
      <w:r>
        <w:t xml:space="preserve">Separately, the η-transition radius was frozen from V</w:t>
      </w:r>
      <w:r>
        <w:rPr>
          <w:vertAlign w:val="subscript"/>
        </w:rPr>
        <w:t xml:space="preserve">obs</w:t>
      </w:r>
      <w:r>
        <w:t xml:space="preserve"> alone, after which photometry was unsealed to ask whether the transition locates the baryons better than a dumb radius-only predictor (r</w:t>
      </w:r>
      <w:r>
        <w:rPr>
          <w:vertAlign w:val="subscript"/>
        </w:rPr>
        <w:t xml:space="preserve">max</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30"/>
        <w:gridCol w:w="233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160" w:line="276"/>
            </w:pPr>
            <w:r>
              <w:rPr>
                <w:b/>
                <w:bCs/>
                <w:color w:val="FFFFFF"/>
                <w:sz w:val="19"/>
                <w:szCs w:val="19"/>
              </w:rPr>
              <w:t xml:space="preserve">Predictor of baryon scale</w:t>
            </w:r>
          </w:p>
        </w:tc>
        <w:tc>
          <w:tcPr>
            <w:tcW w:type="dxa" w:w="2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160" w:line="276"/>
            </w:pPr>
            <w:r>
              <w:rPr>
                <w:b/>
                <w:bCs/>
                <w:color w:val="FFFFFF"/>
                <w:sz w:val="19"/>
                <w:szCs w:val="19"/>
              </w:rPr>
              <w:t xml:space="preserve">Pearson r</w:t>
            </w:r>
          </w:p>
        </w:tc>
        <w:tc>
          <w:tcPr>
            <w:tcW w:type="dxa" w:w="233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160" w:line="276"/>
            </w:pPr>
            <w:r>
              <w:rPr>
                <w:b/>
                <w:bCs/>
                <w:color w:val="FFFFFF"/>
                <w:sz w:val="19"/>
                <w:szCs w:val="19"/>
              </w:rPr>
              <w:t xml:space="preserve">p-value</w:t>
            </w:r>
          </w:p>
        </w:tc>
        <w:tc>
          <w:tcPr>
            <w:tcW w:type="dxa" w:w="233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160" w:line="276"/>
            </w:pPr>
            <w:r>
              <w:rPr>
                <w:b/>
                <w:bCs/>
                <w:color w:val="FFFFFF"/>
                <w:sz w:val="19"/>
                <w:szCs w:val="19"/>
              </w:rPr>
              <w:t xml:space="preserve">Beats null?</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η-transition radius</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+0.831</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1.4×10⁻²²</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looks strong alone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r_max (dumb null)</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+0.897</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9.9×10⁻³¹</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stronger</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η-transition | r_max (partial)</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+0.119</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0.28</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NO — not significant</w:t>
            </w:r>
          </w:p>
        </w:tc>
      </w:tr>
    </w:tbl>
    <w:p>
      <w:pPr>
        <w:spacing w:after="160" w:line="276"/>
      </w:pPr>
      <w:r>
        <w:t xml:space="preserve">The partial correlation is the decisive number: once overall galaxy size is controlled for, the η-transition carries </w:t>
      </w:r>
      <w:r>
        <w:rPr>
          <w:b/>
          <w:bCs/>
        </w:rPr>
        <w:t xml:space="preserve">no significant independent information</w:t>
      </w:r>
      <w:r>
        <w:t xml:space="preserve"> about where the baryons are. It correlated with baryon scale only because both track galaxy size. By Curie's pre-stated criterion — the observable must beat the null — it failed.</w:t>
      </w:r>
    </w:p>
    <w:p>
      <w:pPr>
        <w:pStyle w:val="Heading1"/>
      </w:pPr>
      <w:r>
        <w:t xml:space="preserve">4. The Autopsy: Where the False Rise Enters</w:t>
      </w:r>
    </w:p>
    <w:p>
      <w:pPr>
        <w:spacing w:after="160" w:line="276"/>
      </w:pPr>
      <w:r>
        <w:t xml:space="preserve">Rather than tune the result into passing, the synthetic curves were pushed through the pipeline stage by stage, printing the radial log–log slope introduced at each transformation. The goal was to locate the single operation that manufactures the rise. Results for the flat null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30"/>
        <w:gridCol w:w="233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160" w:line="276"/>
            </w:pPr>
            <w:r>
              <w:rPr>
                <w:b/>
                <w:bCs/>
                <w:color w:val="FFFFFF"/>
                <w:sz w:val="19"/>
                <w:szCs w:val="19"/>
              </w:rPr>
              <w:t xml:space="preserve">Stage</w:t>
            </w:r>
          </w:p>
        </w:tc>
        <w:tc>
          <w:tcPr>
            <w:tcW w:type="dxa" w:w="2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160" w:line="276"/>
            </w:pPr>
            <w:r>
              <w:rPr>
                <w:b/>
                <w:bCs/>
                <w:color w:val="FFFFFF"/>
                <w:sz w:val="19"/>
                <w:szCs w:val="19"/>
              </w:rPr>
              <w:t xml:space="preserve">outer/inner</w:t>
            </w:r>
          </w:p>
        </w:tc>
        <w:tc>
          <w:tcPr>
            <w:tcW w:type="dxa" w:w="233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160" w:line="276"/>
            </w:pPr>
            <w:r>
              <w:rPr>
                <w:b/>
                <w:bCs/>
                <w:color w:val="FFFFFF"/>
                <w:sz w:val="19"/>
                <w:szCs w:val="19"/>
              </w:rPr>
              <w:t xml:space="preserve">d ln X / d ln r</w:t>
            </w:r>
          </w:p>
        </w:tc>
        <w:tc>
          <w:tcPr>
            <w:tcW w:type="dxa" w:w="233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160" w:line="276"/>
            </w:pPr>
            <w:r>
              <w:rPr>
                <w:b/>
                <w:bCs/>
                <w:color w:val="FFFFFF"/>
                <w:sz w:val="19"/>
                <w:szCs w:val="19"/>
              </w:rPr>
              <w:t xml:space="preserve">Verdict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v (input)</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1.000</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0.000</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flat, as it must be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g_obs = v²/r</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0.253</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−1.000</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decreasing</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θᶜ</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0.866</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−0.100</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mild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τᶜ</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1.000</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0.000</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flat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κᶜ</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1.155</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+0.100</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near-flat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flux (r²κ∇θ)</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5.217</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+1.184</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geometry rise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div</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0.090</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−1.748</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ΔS falls outward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Π = −div</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0.090</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−1.748</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carries the decay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ΔSₜ</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0.104</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−1.649</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decays outward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ηᶜ = τᶜ/|ΔSₜ|</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9.533</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+1.649</w:t>
            </w:r>
          </w:p>
        </w:tc>
        <w:tc>
          <w:tcPr>
            <w:tcW w:type="dxa" w:w="23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160" w:line="276"/>
            </w:pPr>
            <w:r>
              <w:rPr>
                <w:sz w:val="19"/>
                <w:szCs w:val="19"/>
              </w:rPr>
              <w:t xml:space="preserve">← RISE MANUFACTURED HERE</w:t>
            </w:r>
          </w:p>
        </w:tc>
      </w:tr>
    </w:tbl>
    <w:p>
      <w:pPr>
        <w:spacing w:after="160" w:line="276"/>
      </w:pPr>
      <w:r>
        <w:t xml:space="preserve">The mechanism is unambiguous and identical across all three synthetic curves: </w:t>
      </w:r>
      <w:r>
        <w:rPr>
          <w:b/>
          <w:bCs/>
        </w:rPr>
        <w:t xml:space="preserve">ΔSₜ falls off outward by construction</w:t>
      </w:r>
      <w:r>
        <w:t xml:space="preserve"> (it is recovered from the divergence of a decaying flux), and ηᶜ = τᶜ/|ΔSₜ| simply </w:t>
      </w:r>
      <w:r>
        <w:rPr>
          <w:b/>
          <w:bCs/>
        </w:rPr>
        <w:t xml:space="preserve">inverts that decay</w:t>
      </w:r>
      <w:r>
        <w:t xml:space="preserve">. The ~10× outer “rise” is the reciprocal of a ~0.10 outer decay. The Keplerian case confirms the geometry is not the culprit: its flux ratio is ~0.93 (flat), yet η still reaches 10.7× — the artifact is born one step later, at the division.</w:t>
      </w:r>
    </w:p>
    <w:p>
      <w:pPr>
        <w:pBdr>
          <w:top w:val="single" w:color="C00000" w:sz="6" w:space="6"/>
          <w:bottom w:val="single" w:color="C00000" w:sz="6" w:space="6"/>
        </w:pBdr>
        <w:shd w:fill="FCE8E6" w:val="clear"/>
        <w:spacing w:after="80" w:before="80"/>
      </w:pPr>
      <w:r>
        <w:rPr>
          <w:b/>
          <w:bCs/>
          <w:color w:val="C00000"/>
        </w:rPr>
        <w:t xml:space="preserve">Root cause: </w:t>
      </w:r>
      <w:r>
        <w:t xml:space="preserve">ηᶜ = τᶜ / |ΔSₜ| converts an outward-decaying entropy pressure into an artificial outward-rising viscosity. This is a structural reciprocal artifact, not a subtle numerical one. No reformulation that places the recovered ΔSₜ in a denominator can escape it.</w:t>
      </w:r>
    </w:p>
    <w:p>
      <w:pPr>
        <w:pStyle w:val="Heading1"/>
      </w:pPr>
      <w:r>
        <w:t xml:space="preserve">5. What Remains Valid</w:t>
      </w:r>
    </w:p>
    <w:p>
      <w:pPr>
        <w:pStyle w:val="ListParagraph"/>
        <w:numPr>
          <w:ilvl w:val="0"/>
          <w:numId w:val="2"/>
        </w:numPr>
        <w:spacing w:after="100" w:line="276"/>
      </w:pPr>
      <w:r>
        <w:rPr>
          <w:b/>
          <w:bCs/>
        </w:rPr>
        <w:t xml:space="preserve">The recursion closes. </w:t>
      </w:r>
      <w:r>
        <w:t xml:space="preserve">Given V</w:t>
      </w:r>
      <w:r>
        <w:rPr>
          <w:vertAlign w:val="subscript"/>
        </w:rPr>
        <w:t xml:space="preserve">obs</w:t>
      </w:r>
      <w:r>
        <w:t xml:space="preserve"> as boundary condition, the balance PDE determines Π, ΔSₜ, and ηᶜ self-consistently with no inserted constants. Λ = 0 (quasi-static) and Π = −∇·(κᶜ∇θᶜ) execute cleanly. The fixed-point machinery is sound.</w:t>
      </w:r>
    </w:p>
    <w:p>
      <w:pPr>
        <w:pStyle w:val="ListParagraph"/>
        <w:numPr>
          <w:ilvl w:val="0"/>
          <w:numId w:val="2"/>
        </w:numPr>
        <w:spacing w:after="100" w:line="276"/>
      </w:pPr>
      <w:r>
        <w:rPr>
          <w:b/>
          <w:bCs/>
        </w:rPr>
        <w:t xml:space="preserve">ΔSₜ falls out of balance, </w:t>
      </w:r>
      <w:r>
        <w:t xml:space="preserve">confirming the conceptual claim that entropy need not be supplied externally — it is pinned by the constraint once velocity fixes the boundary. Π “solved directly” (Curie) avoided hiding a choice inside the entropy conversion.</w:t>
      </w:r>
    </w:p>
    <w:p>
      <w:pPr>
        <w:pStyle w:val="ListParagraph"/>
        <w:numPr>
          <w:ilvl w:val="0"/>
          <w:numId w:val="2"/>
        </w:numPr>
        <w:spacing w:after="100" w:line="276"/>
      </w:pPr>
      <w:r>
        <w:rPr>
          <w:b/>
          <w:bCs/>
        </w:rPr>
        <w:t xml:space="preserve">The boundary singularity was correctly diagnosed and avoided. </w:t>
      </w:r>
      <w:r>
        <w:t xml:space="preserve">Anchoring the potential at φ(r_last)=0 forces θ→0, κ→∞ at the edge; the flat-v continuation (XXV §10.6, the framework's own prediction) is blade-safe and removes it.</w:t>
      </w:r>
    </w:p>
    <w:p>
      <w:pPr>
        <w:pStyle w:val="ListParagraph"/>
        <w:numPr>
          <w:ilvl w:val="0"/>
          <w:numId w:val="2"/>
        </w:numPr>
        <w:spacing w:after="100" w:line="276"/>
      </w:pPr>
      <w:r>
        <w:rPr>
          <w:b/>
          <w:bCs/>
        </w:rPr>
        <w:t xml:space="preserve">The discipline held. </w:t>
      </w:r>
      <w:r>
        <w:t xml:space="preserve">Guards were built before the result was believed; a synthetic null and a dumb-predictor baseline caught a 10× artifact that would otherwise have become a paper. This is the anti-self-confirmation mechanism working as designed.</w:t>
      </w:r>
    </w:p>
    <w:p>
      <w:pPr>
        <w:pStyle w:val="Heading1"/>
      </w:pPr>
      <w:r>
        <w:t xml:space="preserve">6. What Is Dead</w:t>
      </w:r>
    </w:p>
    <w:p>
      <w:pPr>
        <w:spacing w:after="160" w:line="276"/>
      </w:pPr>
      <w:r>
        <w:t xml:space="preserve">The 1D radial η-shape </w:t>
      </w:r>
      <w:r>
        <w:rPr>
          <w:i/>
          <w:iCs/>
        </w:rPr>
        <w:t xml:space="preserve">observable</w:t>
      </w:r>
      <w:r>
        <w:t xml:space="preserve"> is closed as a physical claim. It is not discriminating: it produces the same outer rise for any flat-ish curve and does not locate baryons better than galaxy size alone. It cannot be tuned into passing without fitting the method to the desired answer — the precise error the framework exists to avoid. The autopsy shows no clean reformulation exists in 1D, because any discriminating quantity is formed through Π/ΔSₜ, which carries the structural decay whose reciprocal is the artifact.</w:t>
      </w:r>
    </w:p>
    <w:p>
      <w:pPr>
        <w:pStyle w:val="Heading1"/>
      </w:pPr>
      <w:r>
        <w:t xml:space="preserve">7. Open Direction (Parked, Not Pursued)</w:t>
      </w:r>
    </w:p>
    <w:p>
      <w:pPr>
        <w:spacing w:after="160" w:line="276"/>
      </w:pPr>
      <w:r>
        <w:t xml:space="preserve">The reason a 1D radial reconstruction cannot yield a discriminating-yet-null-flat observable may be physical, not merely numerical: SPARC rotation curves are </w:t>
      </w:r>
      <w:r>
        <w:rPr>
          <w:b/>
          <w:bCs/>
        </w:rPr>
        <w:t xml:space="preserve">azimuthally averaged</w:t>
      </w:r>
      <w:r>
        <w:t xml:space="preserve"> before analysis. If a galaxy translates through the larger Aetheric flow, the relevant external entropy pressure is </w:t>
      </w:r>
      <w:r>
        <w:rPr>
          <w:i/>
          <w:iCs/>
        </w:rPr>
        <w:t xml:space="preserve">directional</w:t>
      </w:r>
      <w:r>
        <w:t xml:space="preserve"> — and direction is exactly what azimuthal averaging removes. A 1D radial curve cannot carry directional substrat flow.</w:t>
      </w:r>
    </w:p>
    <w:p>
      <w:pPr>
        <w:spacing w:after="160" w:line="276"/>
      </w:pPr>
      <w:r>
        <w:t xml:space="preserve">This motivates a directional bulk-pressure term, ε_bulk, from the galaxy's motion through the medium. It is recorded here strictly as a </w:t>
      </w:r>
      <w:r>
        <w:rPr>
          <w:b/>
          <w:bCs/>
        </w:rPr>
        <w:t xml:space="preserve">separate future direction requiring a 2D/3D model</w:t>
      </w:r>
      <w:r>
        <w:t xml:space="preserve"> — not a patch to V9.5. Per the standing rule, it must not be introduced to rescue a failed observable; it would be a new construction with its own derivation and its own null guards.</w:t>
      </w:r>
    </w:p>
    <w:p>
      <w:pPr>
        <w:spacing w:after="160" w:line="276"/>
      </w:pPr>
      <w:r>
        <w:t xml:space="preserve">Likewise parked for separate Paper XIX refinement, never as galaxy-paper patches: the χ entropy-conversion normalization (the η magnitude and aetheron-scale check missed XIX by ~40 orders of magnitude and remain quarantined), the absolute transport coefficient D, and the relaxation-class diagnostic 𝓡̃ᶜ (the reduced relaxation index did not yield a common crossover; CV ≈ 3.2 across galaxies, and the dwarf/spiral separation was directionally right but statistically null at p = 0.23).</w:t>
      </w:r>
    </w:p>
    <w:p>
      <w:pPr>
        <w:pBdr>
          <w:bottom w:val="single" w:color="2E75B6" w:sz="6" w:space="1"/>
        </w:pBdr>
        <w:spacing w:after="140"/>
      </w:pPr>
    </w:p>
    <w:p>
      <w:pPr>
        <w:spacing w:after="160" w:line="276"/>
      </w:pPr>
      <w:r>
        <w:rPr>
          <w:b/>
          <w:bCs/>
          <w:color w:val="1F3864"/>
        </w:rPr>
        <w:t xml:space="preserve">Final judgment. </w:t>
      </w:r>
      <w:r>
        <w:t xml:space="preserve">V9.5 is a successful methodological failure. It did not produce the desired result, but it proved the discipline works: it caught a beautiful false positive before it became a paper-shaped error. The door is now formally labeled closed, with the mechanism that closed it recorded precisely — ηᶜ = τᶜ/|ΔSₜ| inverts a structural ΔSₜ decay — so future work need not re-walk this path to learn it is a dead end.</w:t>
      </w:r>
    </w:p>
    <w:p>
      <w:pPr>
        <w:spacing w:before="200"/>
      </w:pPr>
      <w:r>
        <w:rPr>
          <w:i/>
          <w:iCs/>
          <w:color w:val="595959"/>
          <w:sz w:val="18"/>
          <w:szCs w:val="18"/>
        </w:rPr>
        <w:t xml:space="preserve">— Recorded by Theia, with Paul and Curie. Mechanism fresh; route closed.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ARK V9.5 Negative-Result Record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V9.5 Negative-Result Record</dc:title>
  <dc:creator>ARK / Aetherwave</dc:creator>
  <cp:lastModifiedBy>Un-named</cp:lastModifiedBy>
  <cp:revision>1</cp:revision>
  <dcterms:created xsi:type="dcterms:W3CDTF">2026-05-30T03:49:51.866Z</dcterms:created>
  <dcterms:modified xsi:type="dcterms:W3CDTF">2026-05-30T03:49:51.866Z</dcterms:modified>
</cp:coreProperties>
</file>

<file path=docProps/custom.xml><?xml version="1.0" encoding="utf-8"?>
<Properties xmlns="http://schemas.openxmlformats.org/officeDocument/2006/custom-properties" xmlns:vt="http://schemas.openxmlformats.org/officeDocument/2006/docPropsVTypes"/>
</file>