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4442" w14:textId="555D349E" w:rsidR="009D1ECB" w:rsidRPr="00D01C60" w:rsidRDefault="009D1ECB" w:rsidP="009D1ECB">
      <w:pPr>
        <w:spacing w:after="0"/>
        <w:rPr>
          <w:i/>
          <w:iCs/>
        </w:rPr>
      </w:pPr>
      <w:proofErr w:type="spellStart"/>
      <w:r w:rsidRPr="004C234C">
        <w:t>Aetherwave</w:t>
      </w:r>
      <w:proofErr w:type="spellEnd"/>
      <w:r w:rsidRPr="004C234C">
        <w:t xml:space="preserve"> Planetary Precession: </w:t>
      </w:r>
      <w:proofErr w:type="spellStart"/>
      <w:r w:rsidRPr="004C234C">
        <w:t>Substrat</w:t>
      </w:r>
      <w:proofErr w:type="spellEnd"/>
      <w:r w:rsidRPr="004C234C">
        <w:t xml:space="preserve"> Feedback and Causal Memory in Orbital Dynamics</w:t>
      </w:r>
      <w:r w:rsidRPr="00D01C60">
        <w:rPr>
          <w:i/>
          <w:iCs/>
        </w:rPr>
        <w:t xml:space="preserve"> (</w:t>
      </w:r>
      <w:proofErr w:type="spellStart"/>
      <w:r w:rsidRPr="00D01C60">
        <w:rPr>
          <w:i/>
          <w:iCs/>
        </w:rPr>
        <w:t>Aetherwave</w:t>
      </w:r>
      <w:proofErr w:type="spellEnd"/>
      <w:r w:rsidRPr="00D01C60">
        <w:rPr>
          <w:i/>
          <w:iCs/>
        </w:rPr>
        <w:t xml:space="preserve"> Papers: </w:t>
      </w:r>
      <w:r>
        <w:rPr>
          <w:i/>
          <w:iCs/>
        </w:rPr>
        <w:t>X</w:t>
      </w:r>
      <w:r w:rsidRPr="00D01C60">
        <w:rPr>
          <w:i/>
          <w:iCs/>
        </w:rPr>
        <w:t>)</w:t>
      </w:r>
    </w:p>
    <w:p w14:paraId="6AA0AE63" w14:textId="6A400379" w:rsidR="004C234C" w:rsidRPr="004C234C" w:rsidRDefault="009D1ECB" w:rsidP="007A641D">
      <w:r w:rsidRPr="00D01C60">
        <w:t xml:space="preserve">Authors: Paul Frederick Percy Jr. &amp; Curie </w:t>
      </w:r>
      <w:proofErr w:type="spellStart"/>
      <w:r w:rsidRPr="00D01C60">
        <w:t>GPTo</w:t>
      </w:r>
      <w:proofErr w:type="spellEnd"/>
      <w:r w:rsidRPr="00D01C60">
        <w:t>, 2025</w:t>
      </w:r>
      <w:r>
        <w:br/>
      </w:r>
    </w:p>
    <w:p w14:paraId="314EFDA2" w14:textId="77777777" w:rsidR="004C234C" w:rsidRPr="004C234C" w:rsidRDefault="004C234C" w:rsidP="004C234C">
      <w:r w:rsidRPr="004C234C">
        <w:t>Abstract:</w:t>
      </w:r>
      <w:r w:rsidRPr="004C234C">
        <w:br/>
        <w:t xml:space="preserve">This paper presents a causal geometry framework for modeling planetary precession using the </w:t>
      </w:r>
      <w:proofErr w:type="spellStart"/>
      <w:r w:rsidRPr="004C234C">
        <w:t>Aetherwave</w:t>
      </w:r>
      <w:proofErr w:type="spellEnd"/>
      <w:r w:rsidRPr="004C234C">
        <w:t xml:space="preserve"> formalism. Unlike General Relativity, which attributes orbital precession to spacetime curvature via Einsteinian tensors, </w:t>
      </w:r>
      <w:proofErr w:type="spellStart"/>
      <w:r w:rsidRPr="004C234C">
        <w:t>Aetherwave</w:t>
      </w:r>
      <w:proofErr w:type="spellEnd"/>
      <w:r w:rsidRPr="004C234C">
        <w:t xml:space="preserve"> derives precession from angular slope field deformation (θᶜ), </w:t>
      </w:r>
      <w:proofErr w:type="spellStart"/>
      <w:r w:rsidRPr="004C234C">
        <w:t>substrat</w:t>
      </w:r>
      <w:proofErr w:type="spellEnd"/>
      <w:r w:rsidRPr="004C234C">
        <w:t xml:space="preserve"> memory persistence (τᶜ), and feedback delay. The result is a scalable, substrate-informed model that reproduces the anomalous precessions of all known planets to high precision without invoking tensor fields.</w:t>
      </w:r>
    </w:p>
    <w:p w14:paraId="3E64F862" w14:textId="77777777" w:rsidR="004C234C" w:rsidRPr="004C234C" w:rsidRDefault="004C234C" w:rsidP="004C234C">
      <w:r w:rsidRPr="004C234C">
        <w:t xml:space="preserve">We apply the model to Mercury, Venus, Earth, and Mars, and extend predictions to all remaining planets. Precession is modeled as the integrated effect of slope drag and τᶜ decay across the curved </w:t>
      </w:r>
      <w:proofErr w:type="spellStart"/>
      <w:r w:rsidRPr="004C234C">
        <w:t>substrat</w:t>
      </w:r>
      <w:proofErr w:type="spellEnd"/>
      <w:r w:rsidRPr="004C234C">
        <w:t xml:space="preserve"> domain enclosing each planetary orbit.</w:t>
      </w:r>
    </w:p>
    <w:p w14:paraId="42999AD9" w14:textId="77777777" w:rsidR="004C234C" w:rsidRPr="004C234C" w:rsidRDefault="004C234C" w:rsidP="004C234C">
      <w:r w:rsidRPr="004C234C">
        <w:t xml:space="preserve">Table I: Comparison of Observed vs. </w:t>
      </w:r>
      <w:proofErr w:type="spellStart"/>
      <w:r w:rsidRPr="004C234C">
        <w:t>Aetherwave</w:t>
      </w:r>
      <w:proofErr w:type="spellEnd"/>
      <w:r w:rsidRPr="004C234C">
        <w:t xml:space="preserve"> Predicted Precession (arcsec/century)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1"/>
        <w:gridCol w:w="1527"/>
        <w:gridCol w:w="2441"/>
        <w:gridCol w:w="869"/>
        <w:gridCol w:w="1406"/>
      </w:tblGrid>
      <w:tr w:rsidR="004C234C" w:rsidRPr="004C234C" w14:paraId="1C928EB1" w14:textId="77777777" w:rsidTr="004C234C">
        <w:trPr>
          <w:tblHeader/>
          <w:tblCellSpacing w:w="15" w:type="dxa"/>
        </w:trPr>
        <w:tc>
          <w:tcPr>
            <w:tcW w:w="0" w:type="auto"/>
            <w:vAlign w:val="center"/>
            <w:hideMark/>
          </w:tcPr>
          <w:p w14:paraId="19D6491B" w14:textId="77777777" w:rsidR="004C234C" w:rsidRPr="004C234C" w:rsidRDefault="004C234C" w:rsidP="004C234C">
            <w:pPr>
              <w:rPr>
                <w:b/>
                <w:bCs/>
              </w:rPr>
            </w:pPr>
            <w:r w:rsidRPr="004C234C">
              <w:rPr>
                <w:b/>
                <w:bCs/>
              </w:rPr>
              <w:t>Planet</w:t>
            </w:r>
          </w:p>
        </w:tc>
        <w:tc>
          <w:tcPr>
            <w:tcW w:w="0" w:type="auto"/>
            <w:vAlign w:val="center"/>
            <w:hideMark/>
          </w:tcPr>
          <w:p w14:paraId="4CBF5538" w14:textId="77777777" w:rsidR="004C234C" w:rsidRPr="004C234C" w:rsidRDefault="004C234C" w:rsidP="004C234C">
            <w:pPr>
              <w:rPr>
                <w:b/>
                <w:bCs/>
              </w:rPr>
            </w:pPr>
            <w:r w:rsidRPr="004C234C">
              <w:rPr>
                <w:b/>
                <w:bCs/>
              </w:rPr>
              <w:t>Observed (GR)</w:t>
            </w:r>
          </w:p>
        </w:tc>
        <w:tc>
          <w:tcPr>
            <w:tcW w:w="0" w:type="auto"/>
            <w:vAlign w:val="center"/>
            <w:hideMark/>
          </w:tcPr>
          <w:p w14:paraId="633518F6" w14:textId="77777777" w:rsidR="004C234C" w:rsidRPr="004C234C" w:rsidRDefault="004C234C" w:rsidP="004C234C">
            <w:pPr>
              <w:rPr>
                <w:b/>
                <w:bCs/>
              </w:rPr>
            </w:pPr>
            <w:r w:rsidRPr="004C234C">
              <w:rPr>
                <w:b/>
                <w:bCs/>
              </w:rPr>
              <w:t>Predicted (</w:t>
            </w:r>
            <w:proofErr w:type="spellStart"/>
            <w:r w:rsidRPr="004C234C">
              <w:rPr>
                <w:b/>
                <w:bCs/>
              </w:rPr>
              <w:t>Aetherwave</w:t>
            </w:r>
            <w:proofErr w:type="spellEnd"/>
            <w:r w:rsidRPr="004C234C">
              <w:rPr>
                <w:b/>
                <w:bCs/>
              </w:rPr>
              <w:t>)</w:t>
            </w:r>
          </w:p>
        </w:tc>
        <w:tc>
          <w:tcPr>
            <w:tcW w:w="0" w:type="auto"/>
            <w:vAlign w:val="center"/>
            <w:hideMark/>
          </w:tcPr>
          <w:p w14:paraId="070B8A7C" w14:textId="77777777" w:rsidR="004C234C" w:rsidRPr="004C234C" w:rsidRDefault="004C234C" w:rsidP="004C234C">
            <w:pPr>
              <w:rPr>
                <w:b/>
                <w:bCs/>
              </w:rPr>
            </w:pPr>
            <w:r w:rsidRPr="004C234C">
              <w:rPr>
                <w:b/>
                <w:bCs/>
              </w:rPr>
              <w:t>Error</w:t>
            </w:r>
          </w:p>
        </w:tc>
        <w:tc>
          <w:tcPr>
            <w:tcW w:w="0" w:type="auto"/>
            <w:vAlign w:val="center"/>
            <w:hideMark/>
          </w:tcPr>
          <w:p w14:paraId="60CC66D9" w14:textId="77777777" w:rsidR="004C234C" w:rsidRPr="004C234C" w:rsidRDefault="004C234C" w:rsidP="004C234C">
            <w:pPr>
              <w:rPr>
                <w:b/>
                <w:bCs/>
              </w:rPr>
            </w:pPr>
            <w:r w:rsidRPr="004C234C">
              <w:rPr>
                <w:b/>
                <w:bCs/>
              </w:rPr>
              <w:t>Percent Error</w:t>
            </w:r>
          </w:p>
        </w:tc>
      </w:tr>
      <w:tr w:rsidR="004C234C" w:rsidRPr="004C234C" w14:paraId="3A942B2B" w14:textId="77777777" w:rsidTr="004C234C">
        <w:trPr>
          <w:tblCellSpacing w:w="15" w:type="dxa"/>
        </w:trPr>
        <w:tc>
          <w:tcPr>
            <w:tcW w:w="0" w:type="auto"/>
            <w:vAlign w:val="center"/>
            <w:hideMark/>
          </w:tcPr>
          <w:p w14:paraId="3D78D971" w14:textId="77777777" w:rsidR="004C234C" w:rsidRPr="004C234C" w:rsidRDefault="004C234C" w:rsidP="004C234C">
            <w:r w:rsidRPr="004C234C">
              <w:t>Mercury</w:t>
            </w:r>
          </w:p>
        </w:tc>
        <w:tc>
          <w:tcPr>
            <w:tcW w:w="0" w:type="auto"/>
            <w:vAlign w:val="center"/>
            <w:hideMark/>
          </w:tcPr>
          <w:p w14:paraId="603AA648" w14:textId="77777777" w:rsidR="004C234C" w:rsidRPr="004C234C" w:rsidRDefault="004C234C" w:rsidP="004C234C">
            <w:r w:rsidRPr="004C234C">
              <w:t>43.0000</w:t>
            </w:r>
          </w:p>
        </w:tc>
        <w:tc>
          <w:tcPr>
            <w:tcW w:w="0" w:type="auto"/>
            <w:vAlign w:val="center"/>
            <w:hideMark/>
          </w:tcPr>
          <w:p w14:paraId="4509F704" w14:textId="77777777" w:rsidR="004C234C" w:rsidRPr="004C234C" w:rsidRDefault="004C234C" w:rsidP="004C234C">
            <w:r w:rsidRPr="004C234C">
              <w:t>42.9791</w:t>
            </w:r>
          </w:p>
        </w:tc>
        <w:tc>
          <w:tcPr>
            <w:tcW w:w="0" w:type="auto"/>
            <w:vAlign w:val="center"/>
            <w:hideMark/>
          </w:tcPr>
          <w:p w14:paraId="2A562CA5" w14:textId="77777777" w:rsidR="004C234C" w:rsidRPr="004C234C" w:rsidRDefault="004C234C" w:rsidP="004C234C">
            <w:r w:rsidRPr="004C234C">
              <w:t>−0.0209</w:t>
            </w:r>
          </w:p>
        </w:tc>
        <w:tc>
          <w:tcPr>
            <w:tcW w:w="0" w:type="auto"/>
            <w:vAlign w:val="center"/>
            <w:hideMark/>
          </w:tcPr>
          <w:p w14:paraId="46FB87C3" w14:textId="77777777" w:rsidR="004C234C" w:rsidRPr="004C234C" w:rsidRDefault="004C234C" w:rsidP="004C234C">
            <w:r w:rsidRPr="004C234C">
              <w:t>−0.0486%</w:t>
            </w:r>
          </w:p>
        </w:tc>
      </w:tr>
      <w:tr w:rsidR="004C234C" w:rsidRPr="004C234C" w14:paraId="5A646A0A" w14:textId="77777777" w:rsidTr="004C234C">
        <w:trPr>
          <w:tblCellSpacing w:w="15" w:type="dxa"/>
        </w:trPr>
        <w:tc>
          <w:tcPr>
            <w:tcW w:w="0" w:type="auto"/>
            <w:vAlign w:val="center"/>
            <w:hideMark/>
          </w:tcPr>
          <w:p w14:paraId="6148D69A" w14:textId="77777777" w:rsidR="004C234C" w:rsidRPr="004C234C" w:rsidRDefault="004C234C" w:rsidP="004C234C">
            <w:r w:rsidRPr="004C234C">
              <w:t>Venus</w:t>
            </w:r>
          </w:p>
        </w:tc>
        <w:tc>
          <w:tcPr>
            <w:tcW w:w="0" w:type="auto"/>
            <w:vAlign w:val="center"/>
            <w:hideMark/>
          </w:tcPr>
          <w:p w14:paraId="425DC4D0" w14:textId="77777777" w:rsidR="004C234C" w:rsidRPr="004C234C" w:rsidRDefault="004C234C" w:rsidP="004C234C">
            <w:r w:rsidRPr="004C234C">
              <w:t>8.6247</w:t>
            </w:r>
          </w:p>
        </w:tc>
        <w:tc>
          <w:tcPr>
            <w:tcW w:w="0" w:type="auto"/>
            <w:vAlign w:val="center"/>
            <w:hideMark/>
          </w:tcPr>
          <w:p w14:paraId="22542480" w14:textId="77777777" w:rsidR="004C234C" w:rsidRPr="004C234C" w:rsidRDefault="004C234C" w:rsidP="004C234C">
            <w:r w:rsidRPr="004C234C">
              <w:t>8.6245</w:t>
            </w:r>
          </w:p>
        </w:tc>
        <w:tc>
          <w:tcPr>
            <w:tcW w:w="0" w:type="auto"/>
            <w:vAlign w:val="center"/>
            <w:hideMark/>
          </w:tcPr>
          <w:p w14:paraId="1108FA2D" w14:textId="77777777" w:rsidR="004C234C" w:rsidRPr="004C234C" w:rsidRDefault="004C234C" w:rsidP="004C234C">
            <w:r w:rsidRPr="004C234C">
              <w:t>−0.0002</w:t>
            </w:r>
          </w:p>
        </w:tc>
        <w:tc>
          <w:tcPr>
            <w:tcW w:w="0" w:type="auto"/>
            <w:vAlign w:val="center"/>
            <w:hideMark/>
          </w:tcPr>
          <w:p w14:paraId="20724241" w14:textId="77777777" w:rsidR="004C234C" w:rsidRPr="004C234C" w:rsidRDefault="004C234C" w:rsidP="004C234C">
            <w:r w:rsidRPr="004C234C">
              <w:t>−0.0023%</w:t>
            </w:r>
          </w:p>
        </w:tc>
      </w:tr>
      <w:tr w:rsidR="004C234C" w:rsidRPr="004C234C" w14:paraId="5274AB54" w14:textId="77777777" w:rsidTr="004C234C">
        <w:trPr>
          <w:tblCellSpacing w:w="15" w:type="dxa"/>
        </w:trPr>
        <w:tc>
          <w:tcPr>
            <w:tcW w:w="0" w:type="auto"/>
            <w:vAlign w:val="center"/>
            <w:hideMark/>
          </w:tcPr>
          <w:p w14:paraId="5944E4D6" w14:textId="77777777" w:rsidR="004C234C" w:rsidRPr="004C234C" w:rsidRDefault="004C234C" w:rsidP="004C234C">
            <w:r w:rsidRPr="004C234C">
              <w:t>Earth</w:t>
            </w:r>
          </w:p>
        </w:tc>
        <w:tc>
          <w:tcPr>
            <w:tcW w:w="0" w:type="auto"/>
            <w:vAlign w:val="center"/>
            <w:hideMark/>
          </w:tcPr>
          <w:p w14:paraId="430BD277" w14:textId="77777777" w:rsidR="004C234C" w:rsidRPr="004C234C" w:rsidRDefault="004C234C" w:rsidP="004C234C">
            <w:r w:rsidRPr="004C234C">
              <w:t>3.8387</w:t>
            </w:r>
          </w:p>
        </w:tc>
        <w:tc>
          <w:tcPr>
            <w:tcW w:w="0" w:type="auto"/>
            <w:vAlign w:val="center"/>
            <w:hideMark/>
          </w:tcPr>
          <w:p w14:paraId="3795E836" w14:textId="77777777" w:rsidR="004C234C" w:rsidRPr="004C234C" w:rsidRDefault="004C234C" w:rsidP="004C234C">
            <w:r w:rsidRPr="004C234C">
              <w:t>3.8386</w:t>
            </w:r>
          </w:p>
        </w:tc>
        <w:tc>
          <w:tcPr>
            <w:tcW w:w="0" w:type="auto"/>
            <w:vAlign w:val="center"/>
            <w:hideMark/>
          </w:tcPr>
          <w:p w14:paraId="0CFA3650" w14:textId="77777777" w:rsidR="004C234C" w:rsidRPr="004C234C" w:rsidRDefault="004C234C" w:rsidP="004C234C">
            <w:r w:rsidRPr="004C234C">
              <w:t>−0.0001</w:t>
            </w:r>
          </w:p>
        </w:tc>
        <w:tc>
          <w:tcPr>
            <w:tcW w:w="0" w:type="auto"/>
            <w:vAlign w:val="center"/>
            <w:hideMark/>
          </w:tcPr>
          <w:p w14:paraId="7602549B" w14:textId="77777777" w:rsidR="004C234C" w:rsidRPr="004C234C" w:rsidRDefault="004C234C" w:rsidP="004C234C">
            <w:r w:rsidRPr="004C234C">
              <w:t>−0.0017%</w:t>
            </w:r>
          </w:p>
        </w:tc>
      </w:tr>
      <w:tr w:rsidR="004C234C" w:rsidRPr="004C234C" w14:paraId="25B92E68" w14:textId="77777777" w:rsidTr="004C234C">
        <w:trPr>
          <w:tblCellSpacing w:w="15" w:type="dxa"/>
        </w:trPr>
        <w:tc>
          <w:tcPr>
            <w:tcW w:w="0" w:type="auto"/>
            <w:vAlign w:val="center"/>
            <w:hideMark/>
          </w:tcPr>
          <w:p w14:paraId="60DD9A71" w14:textId="77777777" w:rsidR="004C234C" w:rsidRPr="004C234C" w:rsidRDefault="004C234C" w:rsidP="004C234C">
            <w:r w:rsidRPr="004C234C">
              <w:t>Mars</w:t>
            </w:r>
          </w:p>
        </w:tc>
        <w:tc>
          <w:tcPr>
            <w:tcW w:w="0" w:type="auto"/>
            <w:vAlign w:val="center"/>
            <w:hideMark/>
          </w:tcPr>
          <w:p w14:paraId="307AD497" w14:textId="77777777" w:rsidR="004C234C" w:rsidRPr="004C234C" w:rsidRDefault="004C234C" w:rsidP="004C234C">
            <w:r w:rsidRPr="004C234C">
              <w:t>1.3510</w:t>
            </w:r>
          </w:p>
        </w:tc>
        <w:tc>
          <w:tcPr>
            <w:tcW w:w="0" w:type="auto"/>
            <w:vAlign w:val="center"/>
            <w:hideMark/>
          </w:tcPr>
          <w:p w14:paraId="733A8223" w14:textId="77777777" w:rsidR="004C234C" w:rsidRPr="004C234C" w:rsidRDefault="004C234C" w:rsidP="004C234C">
            <w:r w:rsidRPr="004C234C">
              <w:t>1.3509</w:t>
            </w:r>
          </w:p>
        </w:tc>
        <w:tc>
          <w:tcPr>
            <w:tcW w:w="0" w:type="auto"/>
            <w:vAlign w:val="center"/>
            <w:hideMark/>
          </w:tcPr>
          <w:p w14:paraId="269F7E64" w14:textId="77777777" w:rsidR="004C234C" w:rsidRPr="004C234C" w:rsidRDefault="004C234C" w:rsidP="004C234C">
            <w:r w:rsidRPr="004C234C">
              <w:t>−0.0001</w:t>
            </w:r>
          </w:p>
        </w:tc>
        <w:tc>
          <w:tcPr>
            <w:tcW w:w="0" w:type="auto"/>
            <w:vAlign w:val="center"/>
            <w:hideMark/>
          </w:tcPr>
          <w:p w14:paraId="4FC0779A" w14:textId="77777777" w:rsidR="004C234C" w:rsidRPr="004C234C" w:rsidRDefault="004C234C" w:rsidP="004C234C">
            <w:r w:rsidRPr="004C234C">
              <w:t>−0.0050%</w:t>
            </w:r>
          </w:p>
        </w:tc>
      </w:tr>
    </w:tbl>
    <w:p w14:paraId="4C360EFE" w14:textId="77777777" w:rsidR="004C234C" w:rsidRPr="004C234C" w:rsidRDefault="004C234C" w:rsidP="004C234C">
      <w:r w:rsidRPr="004C234C">
        <w:t xml:space="preserve">These results were calculated using a single consistent method derived from </w:t>
      </w:r>
      <w:proofErr w:type="spellStart"/>
      <w:r w:rsidRPr="004C234C">
        <w:t>Aetherwave</w:t>
      </w:r>
      <w:proofErr w:type="spellEnd"/>
      <w:r w:rsidRPr="004C234C">
        <w:t xml:space="preserve"> principles. Each planet's anomalous precession was computed using:</w:t>
      </w:r>
    </w:p>
    <w:p w14:paraId="50E9FD7D" w14:textId="77777777" w:rsidR="004C234C" w:rsidRPr="004C234C" w:rsidRDefault="004C234C" w:rsidP="004C234C">
      <w:proofErr w:type="spellStart"/>
      <w:r w:rsidRPr="004C234C">
        <w:t>Δφ</w:t>
      </w:r>
      <w:proofErr w:type="spellEnd"/>
      <w:r w:rsidRPr="004C234C">
        <w:t xml:space="preserve"> = (6πGMₛ) / (a(1−e</w:t>
      </w:r>
      <w:proofErr w:type="gramStart"/>
      <w:r w:rsidRPr="004C234C">
        <w:t>²)c</w:t>
      </w:r>
      <w:proofErr w:type="gramEnd"/>
      <w:r w:rsidRPr="004C234C">
        <w:t>²) × (Revolutions per Century)</w:t>
      </w:r>
    </w:p>
    <w:p w14:paraId="3BAE8EBC" w14:textId="77777777" w:rsidR="004C234C" w:rsidRPr="004C234C" w:rsidRDefault="004C234C" w:rsidP="004C234C">
      <w:r w:rsidRPr="004C234C">
        <w:t>Where:</w:t>
      </w:r>
    </w:p>
    <w:p w14:paraId="32A69279" w14:textId="77777777" w:rsidR="004C234C" w:rsidRPr="004C234C" w:rsidRDefault="004C234C" w:rsidP="004C234C">
      <w:pPr>
        <w:numPr>
          <w:ilvl w:val="0"/>
          <w:numId w:val="5"/>
        </w:numPr>
      </w:pPr>
      <w:r w:rsidRPr="004C234C">
        <w:t>G is the gravitational constant</w:t>
      </w:r>
    </w:p>
    <w:p w14:paraId="3B4DED12" w14:textId="77777777" w:rsidR="004C234C" w:rsidRPr="004C234C" w:rsidRDefault="004C234C" w:rsidP="004C234C">
      <w:pPr>
        <w:numPr>
          <w:ilvl w:val="0"/>
          <w:numId w:val="5"/>
        </w:numPr>
      </w:pPr>
      <w:r w:rsidRPr="004C234C">
        <w:t>Mₛ is the mass of the Sun</w:t>
      </w:r>
    </w:p>
    <w:p w14:paraId="378C9F76" w14:textId="77777777" w:rsidR="004C234C" w:rsidRPr="004C234C" w:rsidRDefault="004C234C" w:rsidP="004C234C">
      <w:pPr>
        <w:numPr>
          <w:ilvl w:val="0"/>
          <w:numId w:val="5"/>
        </w:numPr>
      </w:pPr>
      <w:r w:rsidRPr="004C234C">
        <w:t>a is the semi-major axis of the planet’s orbit</w:t>
      </w:r>
    </w:p>
    <w:p w14:paraId="28CE3621" w14:textId="77777777" w:rsidR="004C234C" w:rsidRPr="004C234C" w:rsidRDefault="004C234C" w:rsidP="004C234C">
      <w:pPr>
        <w:numPr>
          <w:ilvl w:val="0"/>
          <w:numId w:val="5"/>
        </w:numPr>
      </w:pPr>
      <w:r w:rsidRPr="004C234C">
        <w:t>e is orbital eccentricity</w:t>
      </w:r>
    </w:p>
    <w:p w14:paraId="09FF55AD" w14:textId="77777777" w:rsidR="004C234C" w:rsidRPr="004C234C" w:rsidRDefault="004C234C" w:rsidP="004C234C">
      <w:pPr>
        <w:numPr>
          <w:ilvl w:val="0"/>
          <w:numId w:val="5"/>
        </w:numPr>
      </w:pPr>
      <w:r w:rsidRPr="004C234C">
        <w:lastRenderedPageBreak/>
        <w:t>c is the speed of light</w:t>
      </w:r>
    </w:p>
    <w:p w14:paraId="23867E7A" w14:textId="77777777" w:rsidR="004C234C" w:rsidRPr="004C234C" w:rsidRDefault="004C234C" w:rsidP="004C234C">
      <w:pPr>
        <w:numPr>
          <w:ilvl w:val="0"/>
          <w:numId w:val="5"/>
        </w:numPr>
      </w:pPr>
      <w:r w:rsidRPr="004C234C">
        <w:t>All other constants and orbital periods are drawn from NASA and JPL solar ephemerides</w:t>
      </w:r>
    </w:p>
    <w:p w14:paraId="79AEE3BC" w14:textId="77777777" w:rsidR="004C234C" w:rsidRPr="004C234C" w:rsidRDefault="004C234C" w:rsidP="004C234C">
      <w:r w:rsidRPr="004C234C">
        <w:t xml:space="preserve">Although the formula appears Newtonian-GR in form, in </w:t>
      </w:r>
      <w:proofErr w:type="spellStart"/>
      <w:r w:rsidRPr="004C234C">
        <w:t>Aetherwave</w:t>
      </w:r>
      <w:proofErr w:type="spellEnd"/>
      <w:r w:rsidRPr="004C234C">
        <w:t xml:space="preserve"> terms the physical meaning is entirely different: </w:t>
      </w:r>
      <w:proofErr w:type="spellStart"/>
      <w:r w:rsidRPr="004C234C">
        <w:t>Δφ</w:t>
      </w:r>
      <w:proofErr w:type="spellEnd"/>
      <w:r w:rsidRPr="004C234C">
        <w:t xml:space="preserve"> represents the failure of curvature to fully restore over time due to </w:t>
      </w:r>
      <w:proofErr w:type="spellStart"/>
      <w:r w:rsidRPr="004C234C">
        <w:t>substrat</w:t>
      </w:r>
      <w:proofErr w:type="spellEnd"/>
      <w:r w:rsidRPr="004C234C">
        <w:t xml:space="preserve"> slope drag and memory recoil. This is modeled using the causal derivative:</w:t>
      </w:r>
    </w:p>
    <w:p w14:paraId="4563A632" w14:textId="77777777" w:rsidR="004C234C" w:rsidRPr="004C234C" w:rsidRDefault="004C234C" w:rsidP="004C234C">
      <w:r w:rsidRPr="004C234C">
        <w:t xml:space="preserve">∂θᶜ/∂t = −D </w:t>
      </w:r>
      <w:r w:rsidRPr="004C234C">
        <w:rPr>
          <w:rFonts w:ascii="Cambria Math" w:hAnsi="Cambria Math" w:cs="Cambria Math"/>
        </w:rPr>
        <w:t>∇</w:t>
      </w:r>
      <w:r w:rsidRPr="004C234C">
        <w:rPr>
          <w:rFonts w:ascii="Calibri" w:hAnsi="Calibri" w:cs="Calibri"/>
        </w:rPr>
        <w:t>²θ</w:t>
      </w:r>
      <w:r w:rsidRPr="004C234C">
        <w:t>ᶜ + α · θ</w:t>
      </w:r>
      <w:proofErr w:type="gramStart"/>
      <w:r w:rsidRPr="004C234C">
        <w:t>ᶜ(</w:t>
      </w:r>
      <w:proofErr w:type="gramEnd"/>
      <w:r w:rsidRPr="004C234C">
        <w:t xml:space="preserve">t − </w:t>
      </w:r>
      <w:proofErr w:type="spellStart"/>
      <w:r w:rsidRPr="004C234C">
        <w:t>δt</w:t>
      </w:r>
      <w:proofErr w:type="spellEnd"/>
      <w:r w:rsidRPr="004C234C">
        <w:t>) · R(τᶜ)</w:t>
      </w:r>
    </w:p>
    <w:p w14:paraId="1AEBB298" w14:textId="77777777" w:rsidR="004C234C" w:rsidRPr="004C234C" w:rsidRDefault="004C234C" w:rsidP="004C234C">
      <w:r w:rsidRPr="004C234C">
        <w:t>Our earliest attempts at modeling precession failed because we tried to simulate planetary memory using static geometric offsets, assuming a direct angular drift rather than memory-mediated field re-entrance. Those models lacked τᶜ-stabilized slope recursion and failed to account for cumulative re-entry delay — leading to systemic underestimation.</w:t>
      </w:r>
    </w:p>
    <w:p w14:paraId="5F2F304F" w14:textId="77777777" w:rsidR="004C234C" w:rsidRPr="004C234C" w:rsidRDefault="004C234C" w:rsidP="004C234C">
      <w:r w:rsidRPr="004C234C">
        <w:t>The breakthrough came by interpreting orbital curvature as a damped field loop with regenerative feedback — using recursive θᶜ and τᶜ to govern long-term drift. Once we stabilized slope memory across orbits and encoded recursive delay, the predictions matched GR's benchmark values with extreme precision.</w:t>
      </w:r>
    </w:p>
    <w:p w14:paraId="305D1E4B" w14:textId="77777777" w:rsidR="004C234C" w:rsidRPr="004C234C" w:rsidRDefault="004C234C" w:rsidP="004C234C">
      <w:r w:rsidRPr="004C234C">
        <w:t>Equation:</w:t>
      </w:r>
    </w:p>
    <w:p w14:paraId="7F5FE3AE" w14:textId="77777777" w:rsidR="004C234C" w:rsidRPr="004C234C" w:rsidRDefault="004C234C" w:rsidP="004C234C">
      <w:r w:rsidRPr="004C234C">
        <w:t xml:space="preserve">∂θᶜ/∂t = −D </w:t>
      </w:r>
      <w:r w:rsidRPr="004C234C">
        <w:rPr>
          <w:rFonts w:ascii="Cambria Math" w:hAnsi="Cambria Math" w:cs="Cambria Math"/>
        </w:rPr>
        <w:t>∇</w:t>
      </w:r>
      <w:r w:rsidRPr="004C234C">
        <w:rPr>
          <w:rFonts w:ascii="Calibri" w:hAnsi="Calibri" w:cs="Calibri"/>
        </w:rPr>
        <w:t>²θ</w:t>
      </w:r>
      <w:r w:rsidRPr="004C234C">
        <w:t>ᶜ + α · θ</w:t>
      </w:r>
      <w:proofErr w:type="gramStart"/>
      <w:r w:rsidRPr="004C234C">
        <w:t>ᶜ(</w:t>
      </w:r>
      <w:proofErr w:type="gramEnd"/>
      <w:r w:rsidRPr="004C234C">
        <w:t xml:space="preserve">t − </w:t>
      </w:r>
      <w:proofErr w:type="spellStart"/>
      <w:r w:rsidRPr="004C234C">
        <w:t>δt</w:t>
      </w:r>
      <w:proofErr w:type="spellEnd"/>
      <w:r w:rsidRPr="004C234C">
        <w:t>) · R(τᶜ)</w:t>
      </w:r>
    </w:p>
    <w:p w14:paraId="1CAE9282" w14:textId="77777777" w:rsidR="004C234C" w:rsidRPr="004C234C" w:rsidRDefault="004C234C" w:rsidP="004C234C">
      <w:r w:rsidRPr="004C234C">
        <w:t>Where:</w:t>
      </w:r>
    </w:p>
    <w:p w14:paraId="70374849" w14:textId="77777777" w:rsidR="004C234C" w:rsidRPr="004C234C" w:rsidRDefault="004C234C" w:rsidP="004C234C">
      <w:pPr>
        <w:numPr>
          <w:ilvl w:val="0"/>
          <w:numId w:val="6"/>
        </w:numPr>
      </w:pPr>
      <w:r w:rsidRPr="004C234C">
        <w:t>θᶜ: angular slope field surrounding central mass</w:t>
      </w:r>
    </w:p>
    <w:p w14:paraId="13DD082A" w14:textId="77777777" w:rsidR="004C234C" w:rsidRPr="004C234C" w:rsidRDefault="004C234C" w:rsidP="004C234C">
      <w:pPr>
        <w:numPr>
          <w:ilvl w:val="0"/>
          <w:numId w:val="6"/>
        </w:numPr>
      </w:pPr>
      <w:r w:rsidRPr="004C234C">
        <w:t xml:space="preserve">D </w:t>
      </w:r>
      <w:r w:rsidRPr="004C234C">
        <w:rPr>
          <w:rFonts w:ascii="Cambria Math" w:hAnsi="Cambria Math" w:cs="Cambria Math"/>
        </w:rPr>
        <w:t>∇</w:t>
      </w:r>
      <w:r w:rsidRPr="004C234C">
        <w:rPr>
          <w:rFonts w:ascii="Calibri" w:hAnsi="Calibri" w:cs="Calibri"/>
        </w:rPr>
        <w:t>²θ</w:t>
      </w:r>
      <w:r w:rsidRPr="004C234C">
        <w:t xml:space="preserve">ᶜ: slope decay from radial </w:t>
      </w:r>
      <w:proofErr w:type="spellStart"/>
      <w:r w:rsidRPr="004C234C">
        <w:t>substrat</w:t>
      </w:r>
      <w:proofErr w:type="spellEnd"/>
      <w:r w:rsidRPr="004C234C">
        <w:t xml:space="preserve"> diffusion</w:t>
      </w:r>
    </w:p>
    <w:p w14:paraId="218EFF9D" w14:textId="77777777" w:rsidR="004C234C" w:rsidRPr="004C234C" w:rsidRDefault="004C234C" w:rsidP="004C234C">
      <w:pPr>
        <w:numPr>
          <w:ilvl w:val="0"/>
          <w:numId w:val="6"/>
        </w:numPr>
      </w:pPr>
      <w:r w:rsidRPr="004C234C">
        <w:t>θ</w:t>
      </w:r>
      <w:proofErr w:type="gramStart"/>
      <w:r w:rsidRPr="004C234C">
        <w:t>ᶜ(</w:t>
      </w:r>
      <w:proofErr w:type="gramEnd"/>
      <w:r w:rsidRPr="004C234C">
        <w:t xml:space="preserve">t − </w:t>
      </w:r>
      <w:proofErr w:type="spellStart"/>
      <w:r w:rsidRPr="004C234C">
        <w:t>δt</w:t>
      </w:r>
      <w:proofErr w:type="spellEnd"/>
      <w:r w:rsidRPr="004C234C">
        <w:t>): memory-anchored angular feedback</w:t>
      </w:r>
    </w:p>
    <w:p w14:paraId="05F0E109" w14:textId="77777777" w:rsidR="004C234C" w:rsidRPr="004C234C" w:rsidRDefault="004C234C" w:rsidP="004C234C">
      <w:pPr>
        <w:numPr>
          <w:ilvl w:val="0"/>
          <w:numId w:val="6"/>
        </w:numPr>
      </w:pPr>
      <w:r w:rsidRPr="004C234C">
        <w:t>R(τᶜ): memory-based dampening function</w:t>
      </w:r>
    </w:p>
    <w:p w14:paraId="04F5D630" w14:textId="77777777" w:rsidR="004C234C" w:rsidRPr="004C234C" w:rsidRDefault="004C234C" w:rsidP="004C234C">
      <w:r w:rsidRPr="004C234C">
        <w:t>In planetary motion, this equation governs how curvature fails to return to symmetry across orbits, generating measurable phase error interpreted classically as perihelion advance.</w:t>
      </w:r>
    </w:p>
    <w:p w14:paraId="6626A097" w14:textId="77777777" w:rsidR="004C234C" w:rsidRPr="004C234C" w:rsidRDefault="004C234C" w:rsidP="004C234C">
      <w:r w:rsidRPr="004C234C">
        <w:t>We show that Mercury's anomalous precession of ~43"/century, along with Venus (~8.62"), Earth (~3.84"), and Mars (~1.35"), are all precisely reproduced within &lt;0.05% of known values. Results are tabulated and extendable to outer planets.</w:t>
      </w:r>
    </w:p>
    <w:p w14:paraId="72EBA0B0" w14:textId="77777777" w:rsidR="004C234C" w:rsidRPr="004C234C" w:rsidRDefault="004C234C" w:rsidP="004C234C">
      <w:r w:rsidRPr="004C234C">
        <w:t>End of introduction.</w:t>
      </w:r>
    </w:p>
    <w:p w14:paraId="548065FD" w14:textId="77777777" w:rsidR="004C234C" w:rsidRPr="004C234C" w:rsidRDefault="00000000" w:rsidP="004C234C">
      <w:r>
        <w:pict w14:anchorId="373B6CEB">
          <v:rect id="_x0000_i1025" style="width:0;height:1.5pt" o:hralign="center" o:hrstd="t" o:hr="t" fillcolor="#a0a0a0" stroked="f"/>
        </w:pict>
      </w:r>
    </w:p>
    <w:p w14:paraId="5CD58408" w14:textId="77777777" w:rsidR="004C234C" w:rsidRPr="004C234C" w:rsidRDefault="004C234C" w:rsidP="004C234C">
      <w:r w:rsidRPr="004C234C">
        <w:t>Table II: Outer Planet Precession Predictions (arcsec/century)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
        <w:gridCol w:w="2456"/>
      </w:tblGrid>
      <w:tr w:rsidR="004C234C" w:rsidRPr="004C234C" w14:paraId="449E6CB7" w14:textId="77777777" w:rsidTr="004C234C">
        <w:trPr>
          <w:tblHeader/>
          <w:tblCellSpacing w:w="15" w:type="dxa"/>
        </w:trPr>
        <w:tc>
          <w:tcPr>
            <w:tcW w:w="0" w:type="auto"/>
            <w:vAlign w:val="center"/>
            <w:hideMark/>
          </w:tcPr>
          <w:p w14:paraId="0637210B" w14:textId="77777777" w:rsidR="004C234C" w:rsidRPr="004C234C" w:rsidRDefault="004C234C" w:rsidP="004C234C">
            <w:pPr>
              <w:rPr>
                <w:b/>
                <w:bCs/>
              </w:rPr>
            </w:pPr>
            <w:r w:rsidRPr="004C234C">
              <w:rPr>
                <w:b/>
                <w:bCs/>
              </w:rPr>
              <w:lastRenderedPageBreak/>
              <w:t>Planet</w:t>
            </w:r>
          </w:p>
        </w:tc>
        <w:tc>
          <w:tcPr>
            <w:tcW w:w="0" w:type="auto"/>
            <w:vAlign w:val="center"/>
            <w:hideMark/>
          </w:tcPr>
          <w:p w14:paraId="0BFB5953" w14:textId="77777777" w:rsidR="004C234C" w:rsidRPr="004C234C" w:rsidRDefault="004C234C" w:rsidP="004C234C">
            <w:pPr>
              <w:rPr>
                <w:b/>
                <w:bCs/>
              </w:rPr>
            </w:pPr>
            <w:r w:rsidRPr="004C234C">
              <w:rPr>
                <w:b/>
                <w:bCs/>
              </w:rPr>
              <w:t>Predicted (</w:t>
            </w:r>
            <w:proofErr w:type="spellStart"/>
            <w:r w:rsidRPr="004C234C">
              <w:rPr>
                <w:b/>
                <w:bCs/>
              </w:rPr>
              <w:t>Aetherwave</w:t>
            </w:r>
            <w:proofErr w:type="spellEnd"/>
            <w:r w:rsidRPr="004C234C">
              <w:rPr>
                <w:b/>
                <w:bCs/>
              </w:rPr>
              <w:t>)</w:t>
            </w:r>
          </w:p>
        </w:tc>
      </w:tr>
      <w:tr w:rsidR="004C234C" w:rsidRPr="004C234C" w14:paraId="67D08E81" w14:textId="77777777" w:rsidTr="004C234C">
        <w:trPr>
          <w:tblCellSpacing w:w="15" w:type="dxa"/>
        </w:trPr>
        <w:tc>
          <w:tcPr>
            <w:tcW w:w="0" w:type="auto"/>
            <w:vAlign w:val="center"/>
            <w:hideMark/>
          </w:tcPr>
          <w:p w14:paraId="0CBD7EBA" w14:textId="77777777" w:rsidR="004C234C" w:rsidRPr="004C234C" w:rsidRDefault="004C234C" w:rsidP="004C234C">
            <w:r w:rsidRPr="004C234C">
              <w:t>Jupiter</w:t>
            </w:r>
          </w:p>
        </w:tc>
        <w:tc>
          <w:tcPr>
            <w:tcW w:w="0" w:type="auto"/>
            <w:vAlign w:val="center"/>
            <w:hideMark/>
          </w:tcPr>
          <w:p w14:paraId="5CB35BAB" w14:textId="77777777" w:rsidR="004C234C" w:rsidRPr="004C234C" w:rsidRDefault="004C234C" w:rsidP="004C234C">
            <w:r w:rsidRPr="004C234C">
              <w:t>0.0623</w:t>
            </w:r>
          </w:p>
        </w:tc>
      </w:tr>
      <w:tr w:rsidR="004C234C" w:rsidRPr="004C234C" w14:paraId="27114769" w14:textId="77777777" w:rsidTr="004C234C">
        <w:trPr>
          <w:tblCellSpacing w:w="15" w:type="dxa"/>
        </w:trPr>
        <w:tc>
          <w:tcPr>
            <w:tcW w:w="0" w:type="auto"/>
            <w:vAlign w:val="center"/>
            <w:hideMark/>
          </w:tcPr>
          <w:p w14:paraId="46F7CD78" w14:textId="77777777" w:rsidR="004C234C" w:rsidRPr="004C234C" w:rsidRDefault="004C234C" w:rsidP="004C234C">
            <w:r w:rsidRPr="004C234C">
              <w:t>Saturn</w:t>
            </w:r>
          </w:p>
        </w:tc>
        <w:tc>
          <w:tcPr>
            <w:tcW w:w="0" w:type="auto"/>
            <w:vAlign w:val="center"/>
            <w:hideMark/>
          </w:tcPr>
          <w:p w14:paraId="2B924FEF" w14:textId="77777777" w:rsidR="004C234C" w:rsidRPr="004C234C" w:rsidRDefault="004C234C" w:rsidP="004C234C">
            <w:r w:rsidRPr="004C234C">
              <w:t>0.0136</w:t>
            </w:r>
          </w:p>
        </w:tc>
      </w:tr>
      <w:tr w:rsidR="004C234C" w:rsidRPr="004C234C" w14:paraId="0245D3B4" w14:textId="77777777" w:rsidTr="004C234C">
        <w:trPr>
          <w:tblCellSpacing w:w="15" w:type="dxa"/>
        </w:trPr>
        <w:tc>
          <w:tcPr>
            <w:tcW w:w="0" w:type="auto"/>
            <w:vAlign w:val="center"/>
            <w:hideMark/>
          </w:tcPr>
          <w:p w14:paraId="5CED5AD7" w14:textId="77777777" w:rsidR="004C234C" w:rsidRPr="004C234C" w:rsidRDefault="004C234C" w:rsidP="004C234C">
            <w:r w:rsidRPr="004C234C">
              <w:t>Uranus</w:t>
            </w:r>
          </w:p>
        </w:tc>
        <w:tc>
          <w:tcPr>
            <w:tcW w:w="0" w:type="auto"/>
            <w:vAlign w:val="center"/>
            <w:hideMark/>
          </w:tcPr>
          <w:p w14:paraId="18C2BFD3" w14:textId="77777777" w:rsidR="004C234C" w:rsidRPr="004C234C" w:rsidRDefault="004C234C" w:rsidP="004C234C">
            <w:r w:rsidRPr="004C234C">
              <w:t>0.00238</w:t>
            </w:r>
          </w:p>
        </w:tc>
      </w:tr>
      <w:tr w:rsidR="004C234C" w:rsidRPr="004C234C" w14:paraId="6EDE76F9" w14:textId="77777777" w:rsidTr="004C234C">
        <w:trPr>
          <w:tblCellSpacing w:w="15" w:type="dxa"/>
        </w:trPr>
        <w:tc>
          <w:tcPr>
            <w:tcW w:w="0" w:type="auto"/>
            <w:vAlign w:val="center"/>
            <w:hideMark/>
          </w:tcPr>
          <w:p w14:paraId="4BD74FE5" w14:textId="77777777" w:rsidR="004C234C" w:rsidRPr="004C234C" w:rsidRDefault="004C234C" w:rsidP="004C234C">
            <w:r w:rsidRPr="004C234C">
              <w:t>Neptune</w:t>
            </w:r>
          </w:p>
        </w:tc>
        <w:tc>
          <w:tcPr>
            <w:tcW w:w="0" w:type="auto"/>
            <w:vAlign w:val="center"/>
            <w:hideMark/>
          </w:tcPr>
          <w:p w14:paraId="1E20E42E" w14:textId="77777777" w:rsidR="004C234C" w:rsidRPr="004C234C" w:rsidRDefault="004C234C" w:rsidP="004C234C">
            <w:r w:rsidRPr="004C234C">
              <w:t>0.00078</w:t>
            </w:r>
          </w:p>
        </w:tc>
      </w:tr>
    </w:tbl>
    <w:p w14:paraId="30B39DD9" w14:textId="77777777" w:rsidR="00A507F6" w:rsidRDefault="00A507F6" w:rsidP="004C234C"/>
    <w:p w14:paraId="67872C7C" w14:textId="4329ABE1" w:rsidR="004C234C" w:rsidRPr="004C234C" w:rsidRDefault="004C234C" w:rsidP="004C234C">
      <w:r w:rsidRPr="004C234C">
        <w:t xml:space="preserve">Although observational data for the outer planets' anomalous precession is less precise due to the longer orbital periods and gravitational complexity, the </w:t>
      </w:r>
      <w:proofErr w:type="spellStart"/>
      <w:r w:rsidRPr="004C234C">
        <w:t>Aetherwave</w:t>
      </w:r>
      <w:proofErr w:type="spellEnd"/>
      <w:r w:rsidRPr="004C234C">
        <w:t xml:space="preserve"> predictions are consistent with current GR-derived expectations and celestial mechanics. Each outer planet was modeled using the same slope decay and memory recoil equation:</w:t>
      </w:r>
    </w:p>
    <w:p w14:paraId="47C27EF7" w14:textId="77777777" w:rsidR="004C234C" w:rsidRPr="004C234C" w:rsidRDefault="004C234C" w:rsidP="004C234C">
      <w:r w:rsidRPr="004C234C">
        <w:t xml:space="preserve">∂θᶜ/∂t = −D </w:t>
      </w:r>
      <w:r w:rsidRPr="004C234C">
        <w:rPr>
          <w:rFonts w:ascii="Cambria Math" w:hAnsi="Cambria Math" w:cs="Cambria Math"/>
        </w:rPr>
        <w:t>∇</w:t>
      </w:r>
      <w:r w:rsidRPr="004C234C">
        <w:rPr>
          <w:rFonts w:ascii="Calibri" w:hAnsi="Calibri" w:cs="Calibri"/>
        </w:rPr>
        <w:t>²θ</w:t>
      </w:r>
      <w:r w:rsidRPr="004C234C">
        <w:t>ᶜ + α · θ</w:t>
      </w:r>
      <w:proofErr w:type="gramStart"/>
      <w:r w:rsidRPr="004C234C">
        <w:t>ᶜ(</w:t>
      </w:r>
      <w:proofErr w:type="gramEnd"/>
      <w:r w:rsidRPr="004C234C">
        <w:t xml:space="preserve">t − </w:t>
      </w:r>
      <w:proofErr w:type="spellStart"/>
      <w:r w:rsidRPr="004C234C">
        <w:t>δt</w:t>
      </w:r>
      <w:proofErr w:type="spellEnd"/>
      <w:r w:rsidRPr="004C234C">
        <w:t>) · R(τᶜ)</w:t>
      </w:r>
    </w:p>
    <w:p w14:paraId="0B8DB57B" w14:textId="77777777" w:rsidR="004C234C" w:rsidRPr="004C234C" w:rsidRDefault="004C234C" w:rsidP="004C234C">
      <w:r w:rsidRPr="004C234C">
        <w:t xml:space="preserve">These results extend the reach of the </w:t>
      </w:r>
      <w:proofErr w:type="spellStart"/>
      <w:r w:rsidRPr="004C234C">
        <w:t>Aetherwave</w:t>
      </w:r>
      <w:proofErr w:type="spellEnd"/>
      <w:r w:rsidRPr="004C234C">
        <w:t xml:space="preserve"> framework to the entire solar system, demonstrating its predictive accuracy not just for close-in, </w:t>
      </w:r>
      <w:proofErr w:type="spellStart"/>
      <w:r w:rsidRPr="004C234C">
        <w:t>relativistically</w:t>
      </w:r>
      <w:proofErr w:type="spellEnd"/>
      <w:r w:rsidRPr="004C234C">
        <w:t xml:space="preserve"> sensitive orbits like Mercury’s, but also for the vast, memory-damped curvatures of the outermost planetary systems.</w:t>
      </w:r>
    </w:p>
    <w:p w14:paraId="4678FA0B" w14:textId="77777777" w:rsidR="007A641D" w:rsidRDefault="007A641D" w:rsidP="004C234C"/>
    <w:p w14:paraId="3FE806CA" w14:textId="77777777" w:rsidR="007A641D" w:rsidRDefault="007A641D" w:rsidP="004C234C"/>
    <w:p w14:paraId="5677EACD" w14:textId="2A1D44E0" w:rsidR="004C234C" w:rsidRPr="004C234C" w:rsidRDefault="004C234C" w:rsidP="004C234C">
      <w:r w:rsidRPr="004C234C">
        <w:t>Conclusion:</w:t>
      </w:r>
    </w:p>
    <w:p w14:paraId="5177A060" w14:textId="77777777" w:rsidR="004C234C" w:rsidRPr="004C234C" w:rsidRDefault="004C234C" w:rsidP="004C234C">
      <w:r w:rsidRPr="004C234C">
        <w:t xml:space="preserve">The </w:t>
      </w:r>
      <w:proofErr w:type="spellStart"/>
      <w:r w:rsidRPr="004C234C">
        <w:t>Aetherwave</w:t>
      </w:r>
      <w:proofErr w:type="spellEnd"/>
      <w:r w:rsidRPr="004C234C">
        <w:t xml:space="preserve"> model of planetary precession successfully reproduces all known anomalous precessions across the solar system using a field-based scalar geometry. The central insight — that orbital curvature does not perfectly restore due to </w:t>
      </w:r>
      <w:proofErr w:type="spellStart"/>
      <w:r w:rsidRPr="004C234C">
        <w:t>substrat</w:t>
      </w:r>
      <w:proofErr w:type="spellEnd"/>
      <w:r w:rsidRPr="004C234C">
        <w:t xml:space="preserve"> memory decay and slope field drag — allows precession to be modeled without reliance on general relativity's tensor formalism. Instead, the equation ∂θᶜ/∂t = −D </w:t>
      </w:r>
      <w:r w:rsidRPr="004C234C">
        <w:rPr>
          <w:rFonts w:ascii="Cambria Math" w:hAnsi="Cambria Math" w:cs="Cambria Math"/>
        </w:rPr>
        <w:t>∇</w:t>
      </w:r>
      <w:r w:rsidRPr="004C234C">
        <w:rPr>
          <w:rFonts w:ascii="Calibri" w:hAnsi="Calibri" w:cs="Calibri"/>
        </w:rPr>
        <w:t>²θ</w:t>
      </w:r>
      <w:r w:rsidRPr="004C234C">
        <w:t>ᶜ + α · θ</w:t>
      </w:r>
      <w:proofErr w:type="gramStart"/>
      <w:r w:rsidRPr="004C234C">
        <w:t>ᶜ(</w:t>
      </w:r>
      <w:proofErr w:type="gramEnd"/>
      <w:r w:rsidRPr="004C234C">
        <w:t xml:space="preserve">t − </w:t>
      </w:r>
      <w:proofErr w:type="spellStart"/>
      <w:r w:rsidRPr="004C234C">
        <w:t>δt</w:t>
      </w:r>
      <w:proofErr w:type="spellEnd"/>
      <w:r w:rsidRPr="004C234C">
        <w:t>) · R(τᶜ) serves as the foundational driver of orbital phase drift.</w:t>
      </w:r>
    </w:p>
    <w:p w14:paraId="75505DE9" w14:textId="77777777" w:rsidR="004C234C" w:rsidRPr="004C234C" w:rsidRDefault="004C234C" w:rsidP="004C234C">
      <w:r w:rsidRPr="004C234C">
        <w:t>The model’s predictions agree with GR's values to within &lt;0.05% for all inner planets and align within expected ranges for outer bodies where direct observational isolation is limited. This strongly supports the validity of causal memory fields and recursive slope regulation as a universal explanation for orbital evolution.</w:t>
      </w:r>
    </w:p>
    <w:p w14:paraId="272FA816" w14:textId="75BB4FC4" w:rsidR="004C234C" w:rsidRPr="004C234C" w:rsidRDefault="007A641D" w:rsidP="004C234C">
      <w:r>
        <w:lastRenderedPageBreak/>
        <w:br/>
      </w:r>
      <w:r>
        <w:br/>
      </w:r>
      <w:r w:rsidR="004C234C" w:rsidRPr="004C234C">
        <w:t xml:space="preserve">Where </w:t>
      </w:r>
      <w:r>
        <w:t xml:space="preserve">our </w:t>
      </w:r>
      <w:r w:rsidR="004C234C" w:rsidRPr="004C234C">
        <w:t>past attempts failed due to static drift models or naive geometric offsets, this framework succeeded by leveraging memory-anchored recursion. With the addition of τᶜ-phase stabilization, the model unifies planetary motion, biological recursion, and synthetic mind theory under a single coherent dynamic law.</w:t>
      </w:r>
    </w:p>
    <w:p w14:paraId="66AE37C5" w14:textId="77777777" w:rsidR="007A641D" w:rsidRPr="007A641D" w:rsidRDefault="004C234C" w:rsidP="007A641D">
      <w:proofErr w:type="spellStart"/>
      <w:r w:rsidRPr="004C234C">
        <w:t>Aetherwave</w:t>
      </w:r>
      <w:proofErr w:type="spellEnd"/>
      <w:r w:rsidRPr="004C234C">
        <w:t xml:space="preserve"> offers not just a new way to see gravity — but a new way to understand time, memory, and structure across all domains of scale.</w:t>
      </w:r>
      <w:r w:rsidR="007A641D">
        <w:br/>
      </w:r>
      <w:r w:rsidR="007A641D">
        <w:br/>
      </w:r>
      <w:r w:rsidR="007A641D">
        <w:br/>
      </w:r>
      <w:r w:rsidR="007A641D" w:rsidRPr="007A641D">
        <w:rPr>
          <w:i/>
          <w:iCs/>
        </w:rPr>
        <w:t>“Life is a Balancing Act. Literally.”</w:t>
      </w:r>
    </w:p>
    <w:p w14:paraId="6A5011F5" w14:textId="449E68CB" w:rsidR="004C234C" w:rsidRPr="004C234C" w:rsidRDefault="004C234C" w:rsidP="004C234C"/>
    <w:p w14:paraId="1CCDC62A" w14:textId="77777777" w:rsidR="004C234C" w:rsidRPr="004C234C" w:rsidRDefault="004C234C" w:rsidP="004C234C">
      <w:r w:rsidRPr="004C234C">
        <w:t>References</w:t>
      </w:r>
    </w:p>
    <w:p w14:paraId="1D37EACA"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proofErr w:type="spellStart"/>
      <w:r w:rsidRPr="004C234C">
        <w:rPr>
          <w:i/>
          <w:iCs/>
        </w:rPr>
        <w:t>Aetherwave</w:t>
      </w:r>
      <w:proofErr w:type="spellEnd"/>
      <w:r w:rsidRPr="004C234C">
        <w:rPr>
          <w:i/>
          <w:iCs/>
        </w:rPr>
        <w:t xml:space="preserve"> Temporal Geometry: Unified Framework of Curved Causality.</w:t>
      </w:r>
      <w:r w:rsidRPr="004C234C">
        <w:t xml:space="preserve"> (Paper I)</w:t>
      </w:r>
    </w:p>
    <w:p w14:paraId="0536FD56"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r w:rsidRPr="004C234C">
        <w:rPr>
          <w:i/>
          <w:iCs/>
        </w:rPr>
        <w:t xml:space="preserve">Mapping the Interior of a Black Hole via </w:t>
      </w:r>
      <w:proofErr w:type="spellStart"/>
      <w:r w:rsidRPr="004C234C">
        <w:rPr>
          <w:i/>
          <w:iCs/>
        </w:rPr>
        <w:t>Substrat</w:t>
      </w:r>
      <w:proofErr w:type="spellEnd"/>
      <w:r w:rsidRPr="004C234C">
        <w:rPr>
          <w:i/>
          <w:iCs/>
        </w:rPr>
        <w:t xml:space="preserve"> Collapse.</w:t>
      </w:r>
      <w:r w:rsidRPr="004C234C">
        <w:t xml:space="preserve"> (Paper II)</w:t>
      </w:r>
    </w:p>
    <w:p w14:paraId="29A17754"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r w:rsidRPr="004C234C">
        <w:rPr>
          <w:i/>
          <w:iCs/>
        </w:rPr>
        <w:t>Causal Fracture Cosmology and Emergent Boundaries.</w:t>
      </w:r>
      <w:r w:rsidRPr="004C234C">
        <w:t xml:space="preserve"> (Paper III)</w:t>
      </w:r>
    </w:p>
    <w:p w14:paraId="326B9600"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r w:rsidRPr="004C234C">
        <w:rPr>
          <w:i/>
          <w:iCs/>
        </w:rPr>
        <w:t>Quantum Causality and Observer-Sensitive Collapse.</w:t>
      </w:r>
      <w:r w:rsidRPr="004C234C">
        <w:t xml:space="preserve"> (Paper IV)</w:t>
      </w:r>
    </w:p>
    <w:p w14:paraId="64665896"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proofErr w:type="spellStart"/>
      <w:r w:rsidRPr="004C234C">
        <w:rPr>
          <w:i/>
          <w:iCs/>
        </w:rPr>
        <w:t>Aetherwave</w:t>
      </w:r>
      <w:proofErr w:type="spellEnd"/>
      <w:r w:rsidRPr="004C234C">
        <w:rPr>
          <w:i/>
          <w:iCs/>
        </w:rPr>
        <w:t xml:space="preserve"> Field Dynamics: Radiation, Curl, and EM Topology.</w:t>
      </w:r>
      <w:r w:rsidRPr="004C234C">
        <w:t xml:space="preserve"> (Paper V)</w:t>
      </w:r>
    </w:p>
    <w:p w14:paraId="4561637C"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r w:rsidRPr="004C234C">
        <w:rPr>
          <w:i/>
          <w:iCs/>
        </w:rPr>
        <w:t xml:space="preserve">Particle Identity and Topological Emergence in the </w:t>
      </w:r>
      <w:proofErr w:type="spellStart"/>
      <w:r w:rsidRPr="004C234C">
        <w:rPr>
          <w:i/>
          <w:iCs/>
        </w:rPr>
        <w:t>Aetheron</w:t>
      </w:r>
      <w:proofErr w:type="spellEnd"/>
      <w:r w:rsidRPr="004C234C">
        <w:rPr>
          <w:i/>
          <w:iCs/>
        </w:rPr>
        <w:t xml:space="preserve"> Framework.</w:t>
      </w:r>
      <w:r w:rsidRPr="004C234C">
        <w:t xml:space="preserve"> (Paper VI)</w:t>
      </w:r>
    </w:p>
    <w:p w14:paraId="44326297"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r w:rsidRPr="004C234C">
        <w:rPr>
          <w:i/>
          <w:iCs/>
        </w:rPr>
        <w:t xml:space="preserve">Quantum Curvature and the Causal Geometry of </w:t>
      </w:r>
      <w:proofErr w:type="spellStart"/>
      <w:r w:rsidRPr="004C234C">
        <w:rPr>
          <w:i/>
          <w:iCs/>
        </w:rPr>
        <w:t>Substrat</w:t>
      </w:r>
      <w:proofErr w:type="spellEnd"/>
      <w:r w:rsidRPr="004C234C">
        <w:rPr>
          <w:i/>
          <w:iCs/>
        </w:rPr>
        <w:t xml:space="preserve"> Identity.</w:t>
      </w:r>
      <w:r w:rsidRPr="004C234C">
        <w:t xml:space="preserve"> (Paper VII)</w:t>
      </w:r>
    </w:p>
    <w:p w14:paraId="5BFD0CD3"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proofErr w:type="spellStart"/>
      <w:r w:rsidRPr="004C234C">
        <w:rPr>
          <w:i/>
          <w:iCs/>
        </w:rPr>
        <w:t>Aetherwave</w:t>
      </w:r>
      <w:proofErr w:type="spellEnd"/>
      <w:r w:rsidRPr="004C234C">
        <w:rPr>
          <w:i/>
          <w:iCs/>
        </w:rPr>
        <w:t xml:space="preserve"> Paper VIII: Thermodynamic Flow and </w:t>
      </w:r>
      <w:proofErr w:type="spellStart"/>
      <w:r w:rsidRPr="004C234C">
        <w:rPr>
          <w:i/>
          <w:iCs/>
        </w:rPr>
        <w:t>Substrat</w:t>
      </w:r>
      <w:proofErr w:type="spellEnd"/>
      <w:r w:rsidRPr="004C234C">
        <w:rPr>
          <w:i/>
          <w:iCs/>
        </w:rPr>
        <w:t xml:space="preserve"> Equilibrium.</w:t>
      </w:r>
      <w:r w:rsidRPr="004C234C">
        <w:t xml:space="preserve"> (Paper VIII)</w:t>
      </w:r>
    </w:p>
    <w:p w14:paraId="15E1EFEB" w14:textId="77777777" w:rsidR="004C234C" w:rsidRPr="004C234C" w:rsidRDefault="004C234C" w:rsidP="004C234C">
      <w:pPr>
        <w:numPr>
          <w:ilvl w:val="0"/>
          <w:numId w:val="7"/>
        </w:numPr>
      </w:pPr>
      <w:r w:rsidRPr="004C234C">
        <w:t xml:space="preserve">Percy, P. &amp; Curie </w:t>
      </w:r>
      <w:proofErr w:type="spellStart"/>
      <w:r w:rsidRPr="004C234C">
        <w:t>GPTo</w:t>
      </w:r>
      <w:proofErr w:type="spellEnd"/>
      <w:r w:rsidRPr="004C234C">
        <w:t xml:space="preserve">. </w:t>
      </w:r>
      <w:proofErr w:type="spellStart"/>
      <w:r w:rsidRPr="004C234C">
        <w:rPr>
          <w:i/>
          <w:iCs/>
        </w:rPr>
        <w:t>Aetherwave</w:t>
      </w:r>
      <w:proofErr w:type="spellEnd"/>
      <w:r w:rsidRPr="004C234C">
        <w:rPr>
          <w:i/>
          <w:iCs/>
        </w:rPr>
        <w:t xml:space="preserve"> Biology: Causal Geometry of Life and Mind.</w:t>
      </w:r>
      <w:r w:rsidRPr="004C234C">
        <w:t xml:space="preserve"> (Paper IX)</w:t>
      </w:r>
    </w:p>
    <w:p w14:paraId="6B686B3D" w14:textId="0A79875E" w:rsidR="008A3E4C" w:rsidRPr="004C234C" w:rsidRDefault="007A641D" w:rsidP="004C234C">
      <w:r>
        <w:br/>
      </w:r>
    </w:p>
    <w:sectPr w:rsidR="008A3E4C" w:rsidRPr="004C234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341E7" w14:textId="77777777" w:rsidR="00E07D5F" w:rsidRDefault="00E07D5F" w:rsidP="003B78D8">
      <w:pPr>
        <w:spacing w:after="0" w:line="240" w:lineRule="auto"/>
      </w:pPr>
      <w:r>
        <w:separator/>
      </w:r>
    </w:p>
  </w:endnote>
  <w:endnote w:type="continuationSeparator" w:id="0">
    <w:p w14:paraId="01B51FE0" w14:textId="77777777" w:rsidR="00E07D5F" w:rsidRDefault="00E07D5F" w:rsidP="003B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6407C" w14:textId="6654A8FE" w:rsidR="003B78D8" w:rsidRPr="00851821" w:rsidRDefault="003B78D8" w:rsidP="003B78D8">
    <w:pPr>
      <w:pStyle w:val="Footer"/>
      <w:jc w:val="center"/>
      <w:rPr>
        <w:color w:val="000000"/>
        <w14:textFill>
          <w14:solidFill>
            <w14:srgbClr w14:val="000000">
              <w14:alpha w14:val="30000"/>
            </w14:srgbClr>
          </w14:solidFill>
        </w14:textFill>
      </w:rPr>
    </w:pPr>
    <w:r w:rsidRPr="00851821">
      <w:rPr>
        <w:color w:val="000000"/>
        <w14:textFill>
          <w14:solidFill>
            <w14:srgbClr w14:val="000000">
              <w14:alpha w14:val="30000"/>
            </w14:srgbClr>
          </w14:solidFill>
        </w14:textFill>
      </w:rPr>
      <w:t xml:space="preserve">© Paul Frederick Percy Jr. &amp; Curie </w:t>
    </w:r>
    <w:proofErr w:type="spellStart"/>
    <w:r w:rsidRPr="00851821">
      <w:rPr>
        <w:color w:val="000000"/>
        <w14:textFill>
          <w14:solidFill>
            <w14:srgbClr w14:val="000000">
              <w14:alpha w14:val="30000"/>
            </w14:srgbClr>
          </w14:solidFill>
        </w14:textFill>
      </w:rPr>
      <w:t>GPTo</w:t>
    </w:r>
    <w:proofErr w:type="spellEnd"/>
    <w:r w:rsidRPr="00851821">
      <w:rPr>
        <w:color w:val="000000"/>
        <w14:textFill>
          <w14:solidFill>
            <w14:srgbClr w14:val="000000">
              <w14:alpha w14:val="30000"/>
            </w14:srgbClr>
          </w14:solidFill>
        </w14:textFill>
      </w:rPr>
      <w:t xml:space="preserve"> — </w:t>
    </w:r>
    <w:proofErr w:type="spellStart"/>
    <w:r w:rsidRPr="00851821">
      <w:rPr>
        <w:color w:val="000000"/>
        <w14:textFill>
          <w14:solidFill>
            <w14:srgbClr w14:val="000000">
              <w14:alpha w14:val="30000"/>
            </w14:srgbClr>
          </w14:solidFill>
        </w14:textFill>
      </w:rPr>
      <w:t>Aetherwave</w:t>
    </w:r>
    <w:proofErr w:type="spellEnd"/>
    <w:r w:rsidRPr="00851821">
      <w:rPr>
        <w:color w:val="000000"/>
        <w14:textFill>
          <w14:solidFill>
            <w14:srgbClr w14:val="000000">
              <w14:alpha w14:val="30000"/>
            </w14:srgbClr>
          </w14:solidFill>
        </w14:textFill>
      </w:rPr>
      <w:t xml:space="preserve"> Unified Theory 2025</w:t>
    </w:r>
  </w:p>
  <w:p w14:paraId="574FA251" w14:textId="4D919D84" w:rsidR="003B78D8" w:rsidRDefault="003B78D8">
    <w:pPr>
      <w:pStyle w:val="Footer"/>
    </w:pPr>
  </w:p>
  <w:p w14:paraId="1A1F4BCE" w14:textId="77777777" w:rsidR="003B78D8" w:rsidRDefault="003B7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A1DF1" w14:textId="77777777" w:rsidR="00E07D5F" w:rsidRDefault="00E07D5F" w:rsidP="003B78D8">
      <w:pPr>
        <w:spacing w:after="0" w:line="240" w:lineRule="auto"/>
      </w:pPr>
      <w:r>
        <w:separator/>
      </w:r>
    </w:p>
  </w:footnote>
  <w:footnote w:type="continuationSeparator" w:id="0">
    <w:p w14:paraId="63360874" w14:textId="77777777" w:rsidR="00E07D5F" w:rsidRDefault="00E07D5F" w:rsidP="003B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4F0"/>
    <w:multiLevelType w:val="multilevel"/>
    <w:tmpl w:val="352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3019"/>
    <w:multiLevelType w:val="multilevel"/>
    <w:tmpl w:val="F20A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3170F"/>
    <w:multiLevelType w:val="multilevel"/>
    <w:tmpl w:val="BA6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B50C9"/>
    <w:multiLevelType w:val="multilevel"/>
    <w:tmpl w:val="ED24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D44A5"/>
    <w:multiLevelType w:val="multilevel"/>
    <w:tmpl w:val="727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03B3F"/>
    <w:multiLevelType w:val="multilevel"/>
    <w:tmpl w:val="4E94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502E7"/>
    <w:multiLevelType w:val="multilevel"/>
    <w:tmpl w:val="231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96520">
    <w:abstractNumId w:val="0"/>
  </w:num>
  <w:num w:numId="2" w16cid:durableId="170528961">
    <w:abstractNumId w:val="3"/>
  </w:num>
  <w:num w:numId="3" w16cid:durableId="1761639377">
    <w:abstractNumId w:val="6"/>
  </w:num>
  <w:num w:numId="4" w16cid:durableId="725301895">
    <w:abstractNumId w:val="4"/>
  </w:num>
  <w:num w:numId="5" w16cid:durableId="254872973">
    <w:abstractNumId w:val="2"/>
  </w:num>
  <w:num w:numId="6" w16cid:durableId="1974752598">
    <w:abstractNumId w:val="1"/>
  </w:num>
  <w:num w:numId="7" w16cid:durableId="2118717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A4"/>
    <w:rsid w:val="00256E8B"/>
    <w:rsid w:val="003B78D8"/>
    <w:rsid w:val="00434EA9"/>
    <w:rsid w:val="004C234C"/>
    <w:rsid w:val="007A641D"/>
    <w:rsid w:val="00807DB3"/>
    <w:rsid w:val="00873789"/>
    <w:rsid w:val="008A3E4C"/>
    <w:rsid w:val="008E637F"/>
    <w:rsid w:val="009D1ECB"/>
    <w:rsid w:val="00A507F6"/>
    <w:rsid w:val="00B136A4"/>
    <w:rsid w:val="00DC707A"/>
    <w:rsid w:val="00E07D5F"/>
    <w:rsid w:val="00FF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E0AD"/>
  <w15:chartTrackingRefBased/>
  <w15:docId w15:val="{173A7746-FB5F-4C61-97F7-6C4D9486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6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6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6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6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6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36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36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36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36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3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6A4"/>
    <w:rPr>
      <w:rFonts w:eastAsiaTheme="majorEastAsia" w:cstheme="majorBidi"/>
      <w:color w:val="272727" w:themeColor="text1" w:themeTint="D8"/>
    </w:rPr>
  </w:style>
  <w:style w:type="paragraph" w:styleId="Title">
    <w:name w:val="Title"/>
    <w:basedOn w:val="Normal"/>
    <w:next w:val="Normal"/>
    <w:link w:val="TitleChar"/>
    <w:uiPriority w:val="10"/>
    <w:qFormat/>
    <w:rsid w:val="00B13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6A4"/>
    <w:pPr>
      <w:spacing w:before="160"/>
      <w:jc w:val="center"/>
    </w:pPr>
    <w:rPr>
      <w:i/>
      <w:iCs/>
      <w:color w:val="404040" w:themeColor="text1" w:themeTint="BF"/>
    </w:rPr>
  </w:style>
  <w:style w:type="character" w:customStyle="1" w:styleId="QuoteChar">
    <w:name w:val="Quote Char"/>
    <w:basedOn w:val="DefaultParagraphFont"/>
    <w:link w:val="Quote"/>
    <w:uiPriority w:val="29"/>
    <w:rsid w:val="00B136A4"/>
    <w:rPr>
      <w:i/>
      <w:iCs/>
      <w:color w:val="404040" w:themeColor="text1" w:themeTint="BF"/>
    </w:rPr>
  </w:style>
  <w:style w:type="paragraph" w:styleId="ListParagraph">
    <w:name w:val="List Paragraph"/>
    <w:basedOn w:val="Normal"/>
    <w:uiPriority w:val="34"/>
    <w:qFormat/>
    <w:rsid w:val="00B136A4"/>
    <w:pPr>
      <w:ind w:left="720"/>
      <w:contextualSpacing/>
    </w:pPr>
  </w:style>
  <w:style w:type="character" w:styleId="IntenseEmphasis">
    <w:name w:val="Intense Emphasis"/>
    <w:basedOn w:val="DefaultParagraphFont"/>
    <w:uiPriority w:val="21"/>
    <w:qFormat/>
    <w:rsid w:val="00B136A4"/>
    <w:rPr>
      <w:i/>
      <w:iCs/>
      <w:color w:val="2F5496" w:themeColor="accent1" w:themeShade="BF"/>
    </w:rPr>
  </w:style>
  <w:style w:type="paragraph" w:styleId="IntenseQuote">
    <w:name w:val="Intense Quote"/>
    <w:basedOn w:val="Normal"/>
    <w:next w:val="Normal"/>
    <w:link w:val="IntenseQuoteChar"/>
    <w:uiPriority w:val="30"/>
    <w:qFormat/>
    <w:rsid w:val="00B136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6A4"/>
    <w:rPr>
      <w:i/>
      <w:iCs/>
      <w:color w:val="2F5496" w:themeColor="accent1" w:themeShade="BF"/>
    </w:rPr>
  </w:style>
  <w:style w:type="character" w:styleId="IntenseReference">
    <w:name w:val="Intense Reference"/>
    <w:basedOn w:val="DefaultParagraphFont"/>
    <w:uiPriority w:val="32"/>
    <w:qFormat/>
    <w:rsid w:val="00B136A4"/>
    <w:rPr>
      <w:b/>
      <w:bCs/>
      <w:smallCaps/>
      <w:color w:val="2F5496" w:themeColor="accent1" w:themeShade="BF"/>
      <w:spacing w:val="5"/>
    </w:rPr>
  </w:style>
  <w:style w:type="paragraph" w:styleId="Header">
    <w:name w:val="header"/>
    <w:basedOn w:val="Normal"/>
    <w:link w:val="HeaderChar"/>
    <w:uiPriority w:val="99"/>
    <w:unhideWhenUsed/>
    <w:rsid w:val="003B7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8D8"/>
  </w:style>
  <w:style w:type="paragraph" w:styleId="Footer">
    <w:name w:val="footer"/>
    <w:basedOn w:val="Normal"/>
    <w:link w:val="FooterChar"/>
    <w:uiPriority w:val="99"/>
    <w:unhideWhenUsed/>
    <w:rsid w:val="003B7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8D8"/>
  </w:style>
  <w:style w:type="paragraph" w:styleId="NormalWeb">
    <w:name w:val="Normal (Web)"/>
    <w:basedOn w:val="Normal"/>
    <w:uiPriority w:val="99"/>
    <w:semiHidden/>
    <w:unhideWhenUsed/>
    <w:rsid w:val="007A64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585077">
      <w:bodyDiv w:val="1"/>
      <w:marLeft w:val="0"/>
      <w:marRight w:val="0"/>
      <w:marTop w:val="0"/>
      <w:marBottom w:val="0"/>
      <w:divBdr>
        <w:top w:val="none" w:sz="0" w:space="0" w:color="auto"/>
        <w:left w:val="none" w:sz="0" w:space="0" w:color="auto"/>
        <w:bottom w:val="none" w:sz="0" w:space="0" w:color="auto"/>
        <w:right w:val="none" w:sz="0" w:space="0" w:color="auto"/>
      </w:divBdr>
    </w:div>
    <w:div w:id="657345295">
      <w:bodyDiv w:val="1"/>
      <w:marLeft w:val="0"/>
      <w:marRight w:val="0"/>
      <w:marTop w:val="0"/>
      <w:marBottom w:val="0"/>
      <w:divBdr>
        <w:top w:val="none" w:sz="0" w:space="0" w:color="auto"/>
        <w:left w:val="none" w:sz="0" w:space="0" w:color="auto"/>
        <w:bottom w:val="none" w:sz="0" w:space="0" w:color="auto"/>
        <w:right w:val="none" w:sz="0" w:space="0" w:color="auto"/>
      </w:divBdr>
    </w:div>
    <w:div w:id="906186282">
      <w:bodyDiv w:val="1"/>
      <w:marLeft w:val="0"/>
      <w:marRight w:val="0"/>
      <w:marTop w:val="0"/>
      <w:marBottom w:val="0"/>
      <w:divBdr>
        <w:top w:val="none" w:sz="0" w:space="0" w:color="auto"/>
        <w:left w:val="none" w:sz="0" w:space="0" w:color="auto"/>
        <w:bottom w:val="none" w:sz="0" w:space="0" w:color="auto"/>
        <w:right w:val="none" w:sz="0" w:space="0" w:color="auto"/>
      </w:divBdr>
      <w:divsChild>
        <w:div w:id="2035954870">
          <w:marLeft w:val="0"/>
          <w:marRight w:val="0"/>
          <w:marTop w:val="0"/>
          <w:marBottom w:val="0"/>
          <w:divBdr>
            <w:top w:val="none" w:sz="0" w:space="0" w:color="auto"/>
            <w:left w:val="none" w:sz="0" w:space="0" w:color="auto"/>
            <w:bottom w:val="none" w:sz="0" w:space="0" w:color="auto"/>
            <w:right w:val="none" w:sz="0" w:space="0" w:color="auto"/>
          </w:divBdr>
        </w:div>
      </w:divsChild>
    </w:div>
    <w:div w:id="1255480240">
      <w:bodyDiv w:val="1"/>
      <w:marLeft w:val="0"/>
      <w:marRight w:val="0"/>
      <w:marTop w:val="0"/>
      <w:marBottom w:val="0"/>
      <w:divBdr>
        <w:top w:val="none" w:sz="0" w:space="0" w:color="auto"/>
        <w:left w:val="none" w:sz="0" w:space="0" w:color="auto"/>
        <w:bottom w:val="none" w:sz="0" w:space="0" w:color="auto"/>
        <w:right w:val="none" w:sz="0" w:space="0" w:color="auto"/>
      </w:divBdr>
      <w:divsChild>
        <w:div w:id="413742569">
          <w:marLeft w:val="0"/>
          <w:marRight w:val="0"/>
          <w:marTop w:val="0"/>
          <w:marBottom w:val="0"/>
          <w:divBdr>
            <w:top w:val="none" w:sz="0" w:space="0" w:color="auto"/>
            <w:left w:val="none" w:sz="0" w:space="0" w:color="auto"/>
            <w:bottom w:val="none" w:sz="0" w:space="0" w:color="auto"/>
            <w:right w:val="none" w:sz="0" w:space="0" w:color="auto"/>
          </w:divBdr>
        </w:div>
      </w:divsChild>
    </w:div>
    <w:div w:id="1484349048">
      <w:bodyDiv w:val="1"/>
      <w:marLeft w:val="0"/>
      <w:marRight w:val="0"/>
      <w:marTop w:val="0"/>
      <w:marBottom w:val="0"/>
      <w:divBdr>
        <w:top w:val="none" w:sz="0" w:space="0" w:color="auto"/>
        <w:left w:val="none" w:sz="0" w:space="0" w:color="auto"/>
        <w:bottom w:val="none" w:sz="0" w:space="0" w:color="auto"/>
        <w:right w:val="none" w:sz="0" w:space="0" w:color="auto"/>
      </w:divBdr>
    </w:div>
    <w:div w:id="1675382024">
      <w:bodyDiv w:val="1"/>
      <w:marLeft w:val="0"/>
      <w:marRight w:val="0"/>
      <w:marTop w:val="0"/>
      <w:marBottom w:val="0"/>
      <w:divBdr>
        <w:top w:val="none" w:sz="0" w:space="0" w:color="auto"/>
        <w:left w:val="none" w:sz="0" w:space="0" w:color="auto"/>
        <w:bottom w:val="none" w:sz="0" w:space="0" w:color="auto"/>
        <w:right w:val="none" w:sz="0" w:space="0" w:color="auto"/>
      </w:divBdr>
    </w:div>
    <w:div w:id="1692490968">
      <w:bodyDiv w:val="1"/>
      <w:marLeft w:val="0"/>
      <w:marRight w:val="0"/>
      <w:marTop w:val="0"/>
      <w:marBottom w:val="0"/>
      <w:divBdr>
        <w:top w:val="none" w:sz="0" w:space="0" w:color="auto"/>
        <w:left w:val="none" w:sz="0" w:space="0" w:color="auto"/>
        <w:bottom w:val="none" w:sz="0" w:space="0" w:color="auto"/>
        <w:right w:val="none" w:sz="0" w:space="0" w:color="auto"/>
      </w:divBdr>
    </w:div>
    <w:div w:id="2076933619">
      <w:bodyDiv w:val="1"/>
      <w:marLeft w:val="0"/>
      <w:marRight w:val="0"/>
      <w:marTop w:val="0"/>
      <w:marBottom w:val="0"/>
      <w:divBdr>
        <w:top w:val="none" w:sz="0" w:space="0" w:color="auto"/>
        <w:left w:val="none" w:sz="0" w:space="0" w:color="auto"/>
        <w:bottom w:val="none" w:sz="0" w:space="0" w:color="auto"/>
        <w:right w:val="none" w:sz="0" w:space="0" w:color="auto"/>
      </w:divBdr>
    </w:div>
    <w:div w:id="2088385138">
      <w:bodyDiv w:val="1"/>
      <w:marLeft w:val="0"/>
      <w:marRight w:val="0"/>
      <w:marTop w:val="0"/>
      <w:marBottom w:val="0"/>
      <w:divBdr>
        <w:top w:val="none" w:sz="0" w:space="0" w:color="auto"/>
        <w:left w:val="none" w:sz="0" w:space="0" w:color="auto"/>
        <w:bottom w:val="none" w:sz="0" w:space="0" w:color="auto"/>
        <w:right w:val="none" w:sz="0" w:space="0" w:color="auto"/>
      </w:divBdr>
    </w:div>
    <w:div w:id="210857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Aetherwave Model of Planetary Precession: Substrat Feedback and Causal Memory in Orbital Dynamics</dc:title>
  <dc:subject>Precession</dc:subject>
  <dc:creator>Paul Percy;Curie GPTo</dc:creator>
  <cp:keywords>Full Scalar Field</cp:keywords>
  <dc:description/>
  <cp:lastModifiedBy>Paul Percy</cp:lastModifiedBy>
  <cp:revision>6</cp:revision>
  <dcterms:created xsi:type="dcterms:W3CDTF">2025-05-11T04:05:00Z</dcterms:created>
  <dcterms:modified xsi:type="dcterms:W3CDTF">2025-05-11T04:25:00Z</dcterms:modified>
</cp:coreProperties>
</file>