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Streamform Contractors</w:t>
      </w:r>
    </w:p>
    <w:p w:rsidR="00000000" w:rsidDel="00000000" w:rsidP="00000000" w:rsidRDefault="00000000" w:rsidRPr="00000000" w14:paraId="00000002">
      <w:pP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Annual Safety Performance Report – 2023</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Executive Summary</w:t>
      </w:r>
    </w:p>
    <w:p w:rsidR="00000000" w:rsidDel="00000000" w:rsidP="00000000" w:rsidRDefault="00000000" w:rsidRPr="00000000" w14:paraId="00000005">
      <w:pPr>
        <w:rPr/>
      </w:pPr>
      <w:r w:rsidDel="00000000" w:rsidR="00000000" w:rsidRPr="00000000">
        <w:rPr>
          <w:rtl w:val="0"/>
        </w:rPr>
        <w:t xml:space="preserve">In 2023, Streamform Contractors maintained its commitment to workplace safety, striving for continuous improvement through targeted training, hazard identification, and employee engagement. This report summarizes the company’s safety performance for the year, highlighting key metrics, incident analysis, and the effectiveness of safety initiatives.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Key Safety Metrics</w:t>
      </w:r>
    </w:p>
    <w:tbl>
      <w:tblPr>
        <w:tblStyle w:val="Table1"/>
        <w:tblW w:w="11100.0" w:type="dxa"/>
        <w:jc w:val="left"/>
        <w:tblLayout w:type="fixed"/>
        <w:tblLook w:val="0400"/>
      </w:tblPr>
      <w:tblGrid>
        <w:gridCol w:w="8605"/>
        <w:gridCol w:w="2495"/>
        <w:tblGridChange w:id="0">
          <w:tblGrid>
            <w:gridCol w:w="8605"/>
            <w:gridCol w:w="2495"/>
          </w:tblGrid>
        </w:tblGridChange>
      </w:tblGrid>
      <w:tr>
        <w:trPr>
          <w:cantSplit w:val="0"/>
          <w:tblHeader w:val="1"/>
        </w:trPr>
        <w:tc>
          <w:tcPr>
            <w:tcMar>
              <w:top w:w="120.0" w:type="dxa"/>
              <w:left w:w="120.0" w:type="dxa"/>
              <w:bottom w:w="120.0" w:type="dxa"/>
              <w:right w:w="120.0" w:type="dxa"/>
            </w:tcMar>
          </w:tcPr>
          <w:p w:rsidR="00000000" w:rsidDel="00000000" w:rsidP="00000000" w:rsidRDefault="00000000" w:rsidRPr="00000000" w14:paraId="00000008">
            <w:pPr>
              <w:rPr>
                <w:b w:val="1"/>
              </w:rPr>
            </w:pPr>
            <w:r w:rsidDel="00000000" w:rsidR="00000000" w:rsidRPr="00000000">
              <w:rPr>
                <w:b w:val="1"/>
                <w:rtl w:val="0"/>
              </w:rPr>
              <w:t xml:space="preserve">Metric</w:t>
            </w:r>
          </w:p>
        </w:tc>
        <w:tc>
          <w:tcPr>
            <w:tcMar>
              <w:top w:w="120.0" w:type="dxa"/>
              <w:left w:w="120.0" w:type="dxa"/>
              <w:bottom w:w="120.0" w:type="dxa"/>
              <w:right w:w="120.0" w:type="dxa"/>
            </w:tcMar>
          </w:tcPr>
          <w:p w:rsidR="00000000" w:rsidDel="00000000" w:rsidP="00000000" w:rsidRDefault="00000000" w:rsidRPr="00000000" w14:paraId="00000009">
            <w:pPr>
              <w:rPr>
                <w:b w:val="1"/>
              </w:rPr>
            </w:pPr>
            <w:r w:rsidDel="00000000" w:rsidR="00000000" w:rsidRPr="00000000">
              <w:rPr>
                <w:b w:val="1"/>
                <w:rtl w:val="0"/>
              </w:rPr>
              <w:t xml:space="preserve">Value</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0A">
            <w:pPr>
              <w:rPr/>
            </w:pPr>
            <w:r w:rsidDel="00000000" w:rsidR="00000000" w:rsidRPr="00000000">
              <w:rPr>
                <w:rtl w:val="0"/>
              </w:rPr>
              <w:t xml:space="preserve">Total man-hours worked</w:t>
            </w:r>
          </w:p>
        </w:tc>
        <w:tc>
          <w:tcPr>
            <w:tcMar>
              <w:top w:w="137.0" w:type="dxa"/>
              <w:left w:w="120.0" w:type="dxa"/>
              <w:bottom w:w="137.0" w:type="dxa"/>
              <w:right w:w="120.0" w:type="dxa"/>
            </w:tcMar>
            <w:vAlign w:val="bottom"/>
          </w:tcPr>
          <w:p w:rsidR="00000000" w:rsidDel="00000000" w:rsidP="00000000" w:rsidRDefault="00000000" w:rsidRPr="00000000" w14:paraId="0000000B">
            <w:pPr>
              <w:rPr/>
            </w:pPr>
            <w:r w:rsidDel="00000000" w:rsidR="00000000" w:rsidRPr="00000000">
              <w:rPr>
                <w:rtl w:val="0"/>
              </w:rPr>
              <w:t xml:space="preserve">6,300,000</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0C">
            <w:pPr>
              <w:rPr/>
            </w:pPr>
            <w:r w:rsidDel="00000000" w:rsidR="00000000" w:rsidRPr="00000000">
              <w:rPr>
                <w:rtl w:val="0"/>
              </w:rPr>
              <w:t xml:space="preserve">OSHA recordable injuries</w:t>
            </w:r>
          </w:p>
        </w:tc>
        <w:tc>
          <w:tcPr>
            <w:tcMar>
              <w:top w:w="137.0" w:type="dxa"/>
              <w:left w:w="120.0" w:type="dxa"/>
              <w:bottom w:w="137.0" w:type="dxa"/>
              <w:right w:w="120.0" w:type="dxa"/>
            </w:tcMar>
            <w:vAlign w:val="bottom"/>
          </w:tcPr>
          <w:p w:rsidR="00000000" w:rsidDel="00000000" w:rsidP="00000000" w:rsidRDefault="00000000" w:rsidRPr="00000000" w14:paraId="0000000D">
            <w:pPr>
              <w:rPr/>
            </w:pPr>
            <w:r w:rsidDel="00000000" w:rsidR="00000000" w:rsidRPr="00000000">
              <w:rPr>
                <w:rtl w:val="0"/>
              </w:rPr>
              <w:t xml:space="preserve">9</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0E">
            <w:pPr>
              <w:rPr/>
            </w:pPr>
            <w:r w:rsidDel="00000000" w:rsidR="00000000" w:rsidRPr="00000000">
              <w:rPr>
                <w:rtl w:val="0"/>
              </w:rPr>
              <w:t xml:space="preserve">Lost time injuries</w:t>
            </w:r>
          </w:p>
        </w:tc>
        <w:tc>
          <w:tcPr>
            <w:tcMar>
              <w:top w:w="137.0" w:type="dxa"/>
              <w:left w:w="120.0" w:type="dxa"/>
              <w:bottom w:w="137.0" w:type="dxa"/>
              <w:right w:w="120.0" w:type="dxa"/>
            </w:tcMar>
            <w:vAlign w:val="bottom"/>
          </w:tcPr>
          <w:p w:rsidR="00000000" w:rsidDel="00000000" w:rsidP="00000000" w:rsidRDefault="00000000" w:rsidRPr="00000000" w14:paraId="0000000F">
            <w:pPr>
              <w:rPr/>
            </w:pPr>
            <w:r w:rsidDel="00000000" w:rsidR="00000000" w:rsidRPr="00000000">
              <w:rPr>
                <w:rtl w:val="0"/>
              </w:rPr>
              <w:t xml:space="preserve">2</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10">
            <w:pPr>
              <w:rPr/>
            </w:pPr>
            <w:r w:rsidDel="00000000" w:rsidR="00000000" w:rsidRPr="00000000">
              <w:rPr>
                <w:rtl w:val="0"/>
              </w:rPr>
              <w:t xml:space="preserve">Total lost workdays (from LTIs)</w:t>
            </w:r>
          </w:p>
        </w:tc>
        <w:tc>
          <w:tcPr>
            <w:tcMar>
              <w:top w:w="137.0" w:type="dxa"/>
              <w:left w:w="120.0" w:type="dxa"/>
              <w:bottom w:w="137.0" w:type="dxa"/>
              <w:right w:w="120.0" w:type="dxa"/>
            </w:tcMar>
            <w:vAlign w:val="bottom"/>
          </w:tcPr>
          <w:p w:rsidR="00000000" w:rsidDel="00000000" w:rsidP="00000000" w:rsidRDefault="00000000" w:rsidRPr="00000000" w14:paraId="00000011">
            <w:pPr>
              <w:rPr/>
            </w:pPr>
            <w:r w:rsidDel="00000000" w:rsidR="00000000" w:rsidRPr="00000000">
              <w:rPr>
                <w:rtl w:val="0"/>
              </w:rPr>
              <w:t xml:space="preserve">105</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12">
            <w:pPr>
              <w:rPr/>
            </w:pPr>
            <w:r w:rsidDel="00000000" w:rsidR="00000000" w:rsidRPr="00000000">
              <w:rPr>
                <w:rtl w:val="0"/>
              </w:rPr>
              <w:t xml:space="preserve">Near misses reported</w:t>
            </w:r>
          </w:p>
        </w:tc>
        <w:tc>
          <w:tcPr>
            <w:tcMar>
              <w:top w:w="137.0" w:type="dxa"/>
              <w:left w:w="120.0" w:type="dxa"/>
              <w:bottom w:w="137.0" w:type="dxa"/>
              <w:right w:w="120.0" w:type="dxa"/>
            </w:tcMar>
            <w:vAlign w:val="bottom"/>
          </w:tcPr>
          <w:p w:rsidR="00000000" w:rsidDel="00000000" w:rsidP="00000000" w:rsidRDefault="00000000" w:rsidRPr="00000000" w14:paraId="00000013">
            <w:pPr>
              <w:rPr/>
            </w:pPr>
            <w:r w:rsidDel="00000000" w:rsidR="00000000" w:rsidRPr="00000000">
              <w:rPr>
                <w:rtl w:val="0"/>
              </w:rPr>
              <w:t xml:space="preserve">8</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14">
            <w:pPr>
              <w:rPr/>
            </w:pPr>
            <w:r w:rsidDel="00000000" w:rsidR="00000000" w:rsidRPr="00000000">
              <w:rPr>
                <w:rtl w:val="0"/>
              </w:rPr>
              <w:t xml:space="preserve">Safety audits conducted</w:t>
            </w:r>
          </w:p>
        </w:tc>
        <w:tc>
          <w:tcPr>
            <w:tcMar>
              <w:top w:w="137.0" w:type="dxa"/>
              <w:left w:w="120.0" w:type="dxa"/>
              <w:bottom w:w="137.0" w:type="dxa"/>
              <w:right w:w="120.0" w:type="dxa"/>
            </w:tcMar>
            <w:vAlign w:val="bottom"/>
          </w:tcPr>
          <w:p w:rsidR="00000000" w:rsidDel="00000000" w:rsidP="00000000" w:rsidRDefault="00000000" w:rsidRPr="00000000" w14:paraId="00000015">
            <w:pPr>
              <w:rPr/>
            </w:pPr>
            <w:r w:rsidDel="00000000" w:rsidR="00000000" w:rsidRPr="00000000">
              <w:rPr>
                <w:rtl w:val="0"/>
              </w:rPr>
              <w:t xml:space="preserve">22</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16">
            <w:pPr>
              <w:rPr/>
            </w:pPr>
            <w:r w:rsidDel="00000000" w:rsidR="00000000" w:rsidRPr="00000000">
              <w:rPr>
                <w:rtl w:val="0"/>
              </w:rPr>
              <w:t xml:space="preserve">Employee safety training sessions</w:t>
            </w:r>
          </w:p>
        </w:tc>
        <w:tc>
          <w:tcPr>
            <w:tcMar>
              <w:top w:w="137.0" w:type="dxa"/>
              <w:left w:w="120.0" w:type="dxa"/>
              <w:bottom w:w="137.0" w:type="dxa"/>
              <w:right w:w="120.0" w:type="dxa"/>
            </w:tcMar>
            <w:vAlign w:val="bottom"/>
          </w:tcPr>
          <w:p w:rsidR="00000000" w:rsidDel="00000000" w:rsidP="00000000" w:rsidRDefault="00000000" w:rsidRPr="00000000" w14:paraId="00000017">
            <w:pPr>
              <w:rPr/>
            </w:pPr>
            <w:r w:rsidDel="00000000" w:rsidR="00000000" w:rsidRPr="00000000">
              <w:rPr>
                <w:rtl w:val="0"/>
              </w:rPr>
              <w:t xml:space="preserve">18</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18">
            <w:pPr>
              <w:rPr/>
            </w:pPr>
            <w:r w:rsidDel="00000000" w:rsidR="00000000" w:rsidRPr="00000000">
              <w:rPr>
                <w:rtl w:val="0"/>
              </w:rPr>
              <w:t xml:space="preserve">PPE compliance rate</w:t>
            </w:r>
          </w:p>
        </w:tc>
        <w:tc>
          <w:tcPr>
            <w:tcMar>
              <w:top w:w="137.0" w:type="dxa"/>
              <w:left w:w="120.0" w:type="dxa"/>
              <w:bottom w:w="137.0" w:type="dxa"/>
              <w:right w:w="120.0" w:type="dxa"/>
            </w:tcMar>
            <w:vAlign w:val="bottom"/>
          </w:tcPr>
          <w:p w:rsidR="00000000" w:rsidDel="00000000" w:rsidP="00000000" w:rsidRDefault="00000000" w:rsidRPr="00000000" w14:paraId="00000019">
            <w:pPr>
              <w:rPr/>
            </w:pPr>
            <w:r w:rsidDel="00000000" w:rsidR="00000000" w:rsidRPr="00000000">
              <w:rPr>
                <w:rtl w:val="0"/>
              </w:rPr>
              <w:t xml:space="preserve">99%</w:t>
            </w:r>
          </w:p>
        </w:tc>
      </w:tr>
      <w:tr>
        <w:trPr>
          <w:cantSplit w:val="0"/>
          <w:tblHeader w:val="0"/>
        </w:trPr>
        <w:tc>
          <w:tcPr>
            <w:tcMar>
              <w:top w:w="137.0" w:type="dxa"/>
              <w:left w:w="120.0" w:type="dxa"/>
              <w:bottom w:w="137.0" w:type="dxa"/>
              <w:right w:w="120.0" w:type="dxa"/>
            </w:tcMar>
            <w:vAlign w:val="bottom"/>
          </w:tcPr>
          <w:p w:rsidR="00000000" w:rsidDel="00000000" w:rsidP="00000000" w:rsidRDefault="00000000" w:rsidRPr="00000000" w14:paraId="0000001A">
            <w:pPr>
              <w:rPr/>
            </w:pPr>
            <w:r w:rsidDel="00000000" w:rsidR="00000000" w:rsidRPr="00000000">
              <w:rPr>
                <w:rtl w:val="0"/>
              </w:rPr>
              <w:t xml:space="preserve">Fatalities</w:t>
            </w:r>
          </w:p>
        </w:tc>
        <w:tc>
          <w:tcPr>
            <w:tcMar>
              <w:top w:w="137.0" w:type="dxa"/>
              <w:left w:w="120.0" w:type="dxa"/>
              <w:bottom w:w="137.0" w:type="dxa"/>
              <w:right w:w="120.0" w:type="dxa"/>
            </w:tcMar>
            <w:vAlign w:val="bottom"/>
          </w:tcPr>
          <w:p w:rsidR="00000000" w:rsidDel="00000000" w:rsidP="00000000" w:rsidRDefault="00000000" w:rsidRPr="00000000" w14:paraId="0000001B">
            <w:pPr>
              <w:rPr/>
            </w:pPr>
            <w:r w:rsidDel="00000000" w:rsidR="00000000" w:rsidRPr="00000000">
              <w:rPr>
                <w:rtl w:val="0"/>
              </w:rPr>
              <w:t xml:space="preserve">0</w:t>
            </w:r>
          </w:p>
        </w:tc>
      </w:tr>
    </w:tbl>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Incident Analysis</w:t>
      </w:r>
    </w:p>
    <w:p w:rsidR="00000000" w:rsidDel="00000000" w:rsidP="00000000" w:rsidRDefault="00000000" w:rsidRPr="00000000" w14:paraId="0000001E">
      <w:pPr>
        <w:rPr/>
      </w:pPr>
      <w:r w:rsidDel="00000000" w:rsidR="00000000" w:rsidRPr="00000000">
        <w:rPr>
          <w:rtl w:val="0"/>
        </w:rPr>
        <w:t xml:space="preserve">OSHA Recordable Injuries</w:t>
      </w:r>
    </w:p>
    <w:p w:rsidR="00000000" w:rsidDel="00000000" w:rsidP="00000000" w:rsidRDefault="00000000" w:rsidRPr="00000000" w14:paraId="0000001F">
      <w:pPr>
        <w:numPr>
          <w:ilvl w:val="0"/>
          <w:numId w:val="1"/>
        </w:numPr>
        <w:ind w:left="720" w:hanging="360"/>
        <w:rPr/>
      </w:pPr>
      <w:r w:rsidDel="00000000" w:rsidR="00000000" w:rsidRPr="00000000">
        <w:rPr>
          <w:b w:val="1"/>
          <w:rtl w:val="0"/>
        </w:rPr>
        <w:t xml:space="preserve">Slip/Trip Incident:</w:t>
      </w:r>
      <w:r w:rsidDel="00000000" w:rsidR="00000000" w:rsidRPr="00000000">
        <w:rPr>
          <w:rtl w:val="0"/>
        </w:rPr>
        <w:t xml:space="preserve"> 1 case (resulted in lost time, required medical attention)</w:t>
      </w:r>
    </w:p>
    <w:p w:rsidR="00000000" w:rsidDel="00000000" w:rsidP="00000000" w:rsidRDefault="00000000" w:rsidRPr="00000000" w14:paraId="00000020">
      <w:pPr>
        <w:numPr>
          <w:ilvl w:val="0"/>
          <w:numId w:val="1"/>
        </w:numPr>
        <w:ind w:left="720" w:hanging="360"/>
        <w:rPr/>
      </w:pPr>
      <w:r w:rsidDel="00000000" w:rsidR="00000000" w:rsidRPr="00000000">
        <w:rPr>
          <w:b w:val="1"/>
          <w:rtl w:val="0"/>
        </w:rPr>
        <w:t xml:space="preserve">Machinery-Related Injury:</w:t>
      </w:r>
      <w:r w:rsidDel="00000000" w:rsidR="00000000" w:rsidRPr="00000000">
        <w:rPr>
          <w:rtl w:val="0"/>
        </w:rPr>
        <w:t xml:space="preserve"> 1 case (minor, required first aid, no lost time)</w:t>
      </w:r>
    </w:p>
    <w:p w:rsidR="00000000" w:rsidDel="00000000" w:rsidP="00000000" w:rsidRDefault="00000000" w:rsidRPr="00000000" w14:paraId="00000021">
      <w:pPr>
        <w:rPr>
          <w:b w:val="1"/>
        </w:rPr>
      </w:pPr>
      <w:r w:rsidDel="00000000" w:rsidR="00000000" w:rsidRPr="00000000">
        <w:rPr>
          <w:b w:val="1"/>
          <w:rtl w:val="0"/>
        </w:rPr>
        <w:t xml:space="preserve">Lost Time Injuries</w:t>
      </w:r>
    </w:p>
    <w:p w:rsidR="00000000" w:rsidDel="00000000" w:rsidP="00000000" w:rsidRDefault="00000000" w:rsidRPr="00000000" w14:paraId="00000022">
      <w:pPr>
        <w:numPr>
          <w:ilvl w:val="0"/>
          <w:numId w:val="2"/>
        </w:numPr>
        <w:ind w:left="720" w:hanging="360"/>
        <w:rPr/>
      </w:pPr>
      <w:r w:rsidDel="00000000" w:rsidR="00000000" w:rsidRPr="00000000">
        <w:rPr>
          <w:b w:val="1"/>
          <w:rtl w:val="0"/>
        </w:rPr>
        <w:t xml:space="preserve">Slip/Trip Incident:</w:t>
      </w:r>
      <w:r w:rsidDel="00000000" w:rsidR="00000000" w:rsidRPr="00000000">
        <w:rPr>
          <w:rtl w:val="0"/>
        </w:rPr>
        <w:t xml:space="preserve"> 1 case (3 days lost)</w:t>
      </w:r>
    </w:p>
    <w:p w:rsidR="00000000" w:rsidDel="00000000" w:rsidP="00000000" w:rsidRDefault="00000000" w:rsidRPr="00000000" w14:paraId="00000023">
      <w:pPr>
        <w:rPr>
          <w:b w:val="1"/>
        </w:rPr>
      </w:pPr>
      <w:r w:rsidDel="00000000" w:rsidR="00000000" w:rsidRPr="00000000">
        <w:rPr>
          <w:b w:val="1"/>
          <w:rtl w:val="0"/>
        </w:rPr>
        <w:t xml:space="preserve">Non-Lost Time Recordables</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The machinery-related injury was treated on site, and the employee returned to work the next day.</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Safety Performance Calculations</w:t>
      </w:r>
    </w:p>
    <w:p w:rsidR="00000000" w:rsidDel="00000000" w:rsidP="00000000" w:rsidRDefault="00000000" w:rsidRPr="00000000" w14:paraId="00000027">
      <w:pPr>
        <w:numPr>
          <w:ilvl w:val="0"/>
          <w:numId w:val="4"/>
        </w:numPr>
        <w:ind w:left="720" w:hanging="360"/>
        <w:rPr/>
      </w:pPr>
      <w:r w:rsidDel="00000000" w:rsidR="00000000" w:rsidRPr="00000000">
        <w:rPr>
          <w:b w:val="1"/>
          <w:rtl w:val="0"/>
        </w:rPr>
        <w:t xml:space="preserve">Lost Workday Case Rate:</w:t>
      </w:r>
      <w:r w:rsidDel="00000000" w:rsidR="00000000" w:rsidRPr="00000000">
        <w:rPr>
          <w:rtl w:val="0"/>
        </w:rPr>
        <w:t xml:space="preserve"> (2 × 200,000) ÷ 6,300,000 = 0.0634</w:t>
      </w:r>
    </w:p>
    <w:p w:rsidR="00000000" w:rsidDel="00000000" w:rsidP="00000000" w:rsidRDefault="00000000" w:rsidRPr="00000000" w14:paraId="00000028">
      <w:pPr>
        <w:numPr>
          <w:ilvl w:val="0"/>
          <w:numId w:val="4"/>
        </w:numPr>
        <w:ind w:left="720" w:hanging="360"/>
        <w:rPr/>
      </w:pPr>
      <w:r w:rsidDel="00000000" w:rsidR="00000000" w:rsidRPr="00000000">
        <w:rPr>
          <w:b w:val="1"/>
          <w:rtl w:val="0"/>
        </w:rPr>
        <w:t xml:space="preserve">Lost Time Injury Severity Rate:</w:t>
      </w:r>
      <w:r w:rsidDel="00000000" w:rsidR="00000000" w:rsidRPr="00000000">
        <w:rPr>
          <w:rtl w:val="0"/>
        </w:rPr>
        <w:t xml:space="preserve"> (105 × 200,000) ÷ 6,300,000 = 3.34</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Safety Initiatives and Corrective Actions</w:t>
      </w:r>
    </w:p>
    <w:p w:rsidR="00000000" w:rsidDel="00000000" w:rsidP="00000000" w:rsidRDefault="00000000" w:rsidRPr="00000000" w14:paraId="0000002B">
      <w:pPr>
        <w:numPr>
          <w:ilvl w:val="0"/>
          <w:numId w:val="5"/>
        </w:numPr>
        <w:ind w:left="720" w:hanging="360"/>
        <w:rPr/>
      </w:pPr>
      <w:r w:rsidDel="00000000" w:rsidR="00000000" w:rsidRPr="00000000">
        <w:rPr>
          <w:rtl w:val="0"/>
        </w:rPr>
        <w:t xml:space="preserve">Conducted additional training on slip, trip, and fall prevention for all employees.</w:t>
      </w:r>
    </w:p>
    <w:p w:rsidR="00000000" w:rsidDel="00000000" w:rsidP="00000000" w:rsidRDefault="00000000" w:rsidRPr="00000000" w14:paraId="0000002C">
      <w:pPr>
        <w:numPr>
          <w:ilvl w:val="0"/>
          <w:numId w:val="5"/>
        </w:numPr>
        <w:ind w:left="720" w:hanging="360"/>
        <w:rPr/>
      </w:pPr>
      <w:r w:rsidDel="00000000" w:rsidR="00000000" w:rsidRPr="00000000">
        <w:rPr>
          <w:rtl w:val="0"/>
        </w:rPr>
        <w:t xml:space="preserve">Reviewed and improved housekeeping procedures, especially in high-traffic areas.</w:t>
      </w:r>
    </w:p>
    <w:p w:rsidR="00000000" w:rsidDel="00000000" w:rsidP="00000000" w:rsidRDefault="00000000" w:rsidRPr="00000000" w14:paraId="0000002D">
      <w:pPr>
        <w:numPr>
          <w:ilvl w:val="0"/>
          <w:numId w:val="5"/>
        </w:numPr>
        <w:ind w:left="720" w:hanging="360"/>
        <w:rPr/>
      </w:pPr>
      <w:r w:rsidDel="00000000" w:rsidR="00000000" w:rsidRPr="00000000">
        <w:rPr>
          <w:rtl w:val="0"/>
        </w:rPr>
        <w:t xml:space="preserve">Enhanced machinery safety protocols and provided refresher training on equipment operation.</w:t>
      </w:r>
    </w:p>
    <w:p w:rsidR="00000000" w:rsidDel="00000000" w:rsidP="00000000" w:rsidRDefault="00000000" w:rsidRPr="00000000" w14:paraId="0000002E">
      <w:pPr>
        <w:numPr>
          <w:ilvl w:val="0"/>
          <w:numId w:val="5"/>
        </w:numPr>
        <w:ind w:left="720" w:hanging="360"/>
        <w:rPr/>
      </w:pPr>
      <w:r w:rsidDel="00000000" w:rsidR="00000000" w:rsidRPr="00000000">
        <w:rPr>
          <w:rtl w:val="0"/>
        </w:rPr>
        <w:t xml:space="preserve">Increased frequency of site inspections and safety audits to identify and address hazards promptly.</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Additional Safety Activities</w:t>
      </w:r>
    </w:p>
    <w:p w:rsidR="00000000" w:rsidDel="00000000" w:rsidP="00000000" w:rsidRDefault="00000000" w:rsidRPr="00000000" w14:paraId="00000031">
      <w:pPr>
        <w:numPr>
          <w:ilvl w:val="0"/>
          <w:numId w:val="6"/>
        </w:numPr>
        <w:ind w:left="720" w:hanging="360"/>
        <w:rPr/>
      </w:pPr>
      <w:r w:rsidDel="00000000" w:rsidR="00000000" w:rsidRPr="00000000">
        <w:rPr>
          <w:rtl w:val="0"/>
        </w:rPr>
        <w:t xml:space="preserve">Regular safety meetings were held to discuss incidents, near misses, and best practices.</w:t>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All new hires completed a comprehensive safety orientation and equipment-specific training.</w:t>
      </w:r>
    </w:p>
    <w:p w:rsidR="00000000" w:rsidDel="00000000" w:rsidP="00000000" w:rsidRDefault="00000000" w:rsidRPr="00000000" w14:paraId="00000033">
      <w:pPr>
        <w:numPr>
          <w:ilvl w:val="0"/>
          <w:numId w:val="6"/>
        </w:numPr>
        <w:ind w:left="720" w:hanging="360"/>
        <w:rPr/>
      </w:pPr>
      <w:r w:rsidDel="00000000" w:rsidR="00000000" w:rsidRPr="00000000">
        <w:rPr>
          <w:rtl w:val="0"/>
        </w:rPr>
        <w:t xml:space="preserve">Maintained high PPE compliance through daily checks and immediate corrective action when needed.</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Conclusion</w:t>
      </w:r>
    </w:p>
    <w:p w:rsidR="00000000" w:rsidDel="00000000" w:rsidP="00000000" w:rsidRDefault="00000000" w:rsidRPr="00000000" w14:paraId="00000036">
      <w:pPr>
        <w:rPr/>
      </w:pPr>
      <w:r w:rsidDel="00000000" w:rsidR="00000000" w:rsidRPr="00000000">
        <w:rPr>
          <w:rtl w:val="0"/>
        </w:rPr>
        <w:t xml:space="preserve">Streamform Contractors’ safety performance in 2023 reflects a strong safety culture and effective risk management. With a further reduction in both incident and severity rates, the company continues to build on its safety achievements and remains committed to protecting its workforce and maintaining industry-leading standards.</w:t>
      </w:r>
    </w:p>
    <w:p w:rsidR="00000000" w:rsidDel="00000000" w:rsidP="00000000" w:rsidRDefault="00000000" w:rsidRPr="00000000" w14:paraId="0000003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Normal"/>
  </w:style>
  <w:style w:type="paragraph" w:styleId="Heading7">
    <w:name w:val="heading 7"/>
    <w:basedOn w:val="Normal"/>
    <w:next w:val="Normal"/>
    <w:link w:val="Heading7Char"/>
    <w:uiPriority w:val="9"/>
    <w:semiHidden w:val="1"/>
    <w:unhideWhenUsed w:val="1"/>
    <w:qFormat w:val="1"/>
    <w:rsid w:val="00F94DE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94DE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94DE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94DE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94DE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94DE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94DE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94DE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94DE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94DE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94DE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94DE3"/>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94DE3"/>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94DE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94DE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94DE3"/>
    <w:rPr>
      <w:i w:val="1"/>
      <w:iCs w:val="1"/>
      <w:color w:val="404040" w:themeColor="text1" w:themeTint="0000BF"/>
    </w:rPr>
  </w:style>
  <w:style w:type="paragraph" w:styleId="ListParagraph">
    <w:name w:val="List Paragraph"/>
    <w:basedOn w:val="Normal"/>
    <w:uiPriority w:val="34"/>
    <w:qFormat w:val="1"/>
    <w:rsid w:val="00F94DE3"/>
    <w:pPr>
      <w:ind w:left="720"/>
      <w:contextualSpacing w:val="1"/>
    </w:pPr>
  </w:style>
  <w:style w:type="character" w:styleId="IntenseEmphasis">
    <w:name w:val="Intense Emphasis"/>
    <w:basedOn w:val="DefaultParagraphFont"/>
    <w:uiPriority w:val="21"/>
    <w:qFormat w:val="1"/>
    <w:rsid w:val="00F94DE3"/>
    <w:rPr>
      <w:i w:val="1"/>
      <w:iCs w:val="1"/>
      <w:color w:val="0f4761" w:themeColor="accent1" w:themeShade="0000BF"/>
    </w:rPr>
  </w:style>
  <w:style w:type="paragraph" w:styleId="IntenseQuote">
    <w:name w:val="Intense Quote"/>
    <w:basedOn w:val="Normal"/>
    <w:next w:val="Normal"/>
    <w:link w:val="IntenseQuoteChar"/>
    <w:uiPriority w:val="30"/>
    <w:qFormat w:val="1"/>
    <w:rsid w:val="00F94DE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94DE3"/>
    <w:rPr>
      <w:i w:val="1"/>
      <w:iCs w:val="1"/>
      <w:color w:val="0f4761" w:themeColor="accent1" w:themeShade="0000BF"/>
    </w:rPr>
  </w:style>
  <w:style w:type="character" w:styleId="IntenseReference">
    <w:name w:val="Intense Reference"/>
    <w:basedOn w:val="DefaultParagraphFont"/>
    <w:uiPriority w:val="32"/>
    <w:qFormat w:val="1"/>
    <w:rsid w:val="00F94DE3"/>
    <w:rPr>
      <w:b w:val="1"/>
      <w:bCs w:val="1"/>
      <w:smallCaps w:val="1"/>
      <w:color w:val="0f4761" w:themeColor="accent1" w:themeShade="0000BF"/>
      <w:spacing w:val="5"/>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6fZT60UsGX2n9UvCYt7ATf/DEQ==">CgMxLjA4AHIhMWVCMEdjRTNYVk9WRzhUd2VlVEkzeTVuSVkwT2dlZmY2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2025-06-12T09:05:00Z</dcterms:created>
  <dc:creator>gaureeshwarmanda@outlook.com</dc:creator>
</cp:coreProperties>
</file>