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rPr/>
      </w:pPr>
      <w:bookmarkStart w:id="0" w:name="_Toc352669367"/>
      <w:bookmarkStart w:id="1" w:name="__RefHeading___Toc613_1452358796"/>
      <w:bookmarkEnd w:id="0"/>
      <w:bookmarkEnd w:id="1"/>
      <w:r>
        <w:rPr/>
        <w:t>Упражнение №4. Методология DFD. Понятийный аппарат.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>Диаграммы потоков данных (</w:t>
      </w:r>
      <w:r>
        <w:rPr>
          <w:rFonts w:cs="Times New Roman"/>
          <w:b/>
          <w:sz w:val="24"/>
          <w:szCs w:val="24"/>
          <w:lang w:val="en-US"/>
        </w:rPr>
        <w:t>DFD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Data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Flow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Diagram</w:t>
      </w:r>
      <w:r>
        <w:rPr>
          <w:rFonts w:cs="Times New Roman"/>
          <w:sz w:val="24"/>
          <w:szCs w:val="24"/>
        </w:rPr>
        <w:t>) – представляют собой сеть связанных между собой работ. Их удобно использовать для описания документооборота и обработки информации.</w:t>
      </w:r>
    </w:p>
    <w:p>
      <w:pPr>
        <w:pStyle w:val="Style21"/>
        <w:rPr/>
      </w:pPr>
      <w:r>
        <w:rPr/>
        <w:t>DFD описывает:</w:t>
      </w:r>
    </w:p>
    <w:p>
      <w:pPr>
        <w:pStyle w:val="Style21"/>
        <w:widowControl/>
        <w:numPr>
          <w:ilvl w:val="0"/>
          <w:numId w:val="3"/>
        </w:numPr>
        <w:tabs>
          <w:tab w:val="left" w:pos="1410" w:leader="none"/>
        </w:tabs>
        <w:overflowPunct w:val="false"/>
        <w:bidi w:val="0"/>
        <w:spacing w:lineRule="auto" w:line="360" w:before="0" w:after="0"/>
        <w:ind w:left="0" w:right="0" w:firstLine="1134"/>
        <w:jc w:val="both"/>
        <w:rPr/>
      </w:pPr>
      <w:r>
        <w:rPr/>
        <w:t>Функции обработки информации – работы</w:t>
      </w:r>
    </w:p>
    <w:p>
      <w:pPr>
        <w:pStyle w:val="Style21"/>
        <w:widowControl/>
        <w:numPr>
          <w:ilvl w:val="0"/>
          <w:numId w:val="3"/>
        </w:numPr>
        <w:tabs>
          <w:tab w:val="left" w:pos="1410" w:leader="none"/>
        </w:tabs>
        <w:overflowPunct w:val="false"/>
        <w:bidi w:val="0"/>
        <w:spacing w:lineRule="auto" w:line="360" w:before="0" w:after="0"/>
        <w:ind w:left="0" w:right="0" w:firstLine="1134"/>
        <w:jc w:val="both"/>
        <w:rPr/>
      </w:pPr>
      <w:r>
        <w:rPr/>
        <w:t>Документы, объекты, сотрудников или отделы, участвующие в процессе обработки информации</w:t>
      </w:r>
    </w:p>
    <w:p>
      <w:pPr>
        <w:pStyle w:val="Style21"/>
        <w:widowControl/>
        <w:numPr>
          <w:ilvl w:val="0"/>
          <w:numId w:val="3"/>
        </w:numPr>
        <w:tabs>
          <w:tab w:val="left" w:pos="1410" w:leader="none"/>
        </w:tabs>
        <w:overflowPunct w:val="false"/>
        <w:bidi w:val="0"/>
        <w:spacing w:lineRule="auto" w:line="360" w:before="0" w:after="0"/>
        <w:ind w:left="0" w:right="0" w:firstLine="1134"/>
        <w:jc w:val="both"/>
        <w:rPr/>
      </w:pPr>
      <w:r>
        <w:rPr/>
        <w:t>Внешние ссылки, которые обеспечивают интерфейс с внешними объектами, находящимися за границами моделируемой системы</w:t>
      </w:r>
    </w:p>
    <w:p>
      <w:pPr>
        <w:pStyle w:val="Style21"/>
        <w:widowControl/>
        <w:numPr>
          <w:ilvl w:val="0"/>
          <w:numId w:val="3"/>
        </w:numPr>
        <w:tabs>
          <w:tab w:val="left" w:pos="1410" w:leader="none"/>
        </w:tabs>
        <w:overflowPunct w:val="false"/>
        <w:bidi w:val="0"/>
        <w:spacing w:lineRule="auto" w:line="360" w:before="0" w:after="0"/>
        <w:ind w:left="0" w:right="0" w:firstLine="1134"/>
        <w:jc w:val="both"/>
        <w:rPr/>
      </w:pPr>
      <w:r>
        <w:rPr/>
        <w:t>Таблицы для хранения документов (хранилища данных)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rPr/>
      </w:pPr>
      <w:r>
        <w:rPr/>
        <w:t>Для построения диаграмм DFD в Ramus Educational используются следующие обозначения</w:t>
      </w:r>
    </w:p>
    <w:p>
      <w:pPr>
        <w:pStyle w:val="Style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9300" w:type="dxa"/>
        <w:jc w:val="left"/>
        <w:tblInd w:w="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35"/>
        <w:gridCol w:w="4664"/>
      </w:tblGrid>
      <w:tr>
        <w:trPr/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Компонент</w:t>
            </w:r>
          </w:p>
        </w:tc>
        <w:tc>
          <w:tcPr>
            <w:tcW w:w="4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</w:t>
            </w:r>
          </w:p>
        </w:tc>
      </w:tr>
      <w:tr>
        <w:trPr/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Поток данных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277495</wp:posOffset>
                      </wp:positionV>
                      <wp:extent cx="2192020" cy="1905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132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Процесс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209675" cy="876300"/>
                  <wp:effectExtent l="0" t="0" r="0" b="0"/>
                  <wp:docPr id="2" name="Рисунок 2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Хранилище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543050" cy="609600"/>
                  <wp:effectExtent l="0" t="0" r="0" b="0"/>
                  <wp:docPr id="3" name="Рисунок 2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сущность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352550" cy="838200"/>
                  <wp:effectExtent l="0" t="0" r="0" b="0"/>
                  <wp:docPr id="4" name="Рисунок 2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2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Потоки данных являются </w:t>
      </w:r>
      <w:r>
        <w:rPr>
          <w:rFonts w:cs="Times New Roman"/>
          <w:sz w:val="24"/>
          <w:szCs w:val="24"/>
          <w:u w:val="single"/>
        </w:rPr>
        <w:t>механизмами</w:t>
      </w:r>
      <w:r>
        <w:rPr>
          <w:rFonts w:cs="Times New Roman"/>
          <w:sz w:val="24"/>
          <w:szCs w:val="24"/>
        </w:rPr>
        <w:t>, использующимися для моделирования передачи информации (или физических компонентов) из одной части системы в другую. Потоки изображаются на схеме именованными стрелками, ориентация которых указывает направление движения информации. Стрелки могут подходить к любой грани работы и могут быть двунаправленными для описания взаимодействия типа команда-ответ.</w:t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Назначение </w:t>
      </w:r>
      <w:r>
        <w:rPr>
          <w:rFonts w:cs="Times New Roman"/>
          <w:sz w:val="24"/>
          <w:szCs w:val="24"/>
          <w:u w:val="single"/>
        </w:rPr>
        <w:t>процесса</w:t>
      </w:r>
      <w:r>
        <w:rPr>
          <w:rFonts w:cs="Times New Roman"/>
          <w:sz w:val="24"/>
          <w:szCs w:val="24"/>
        </w:rPr>
        <w:t xml:space="preserve"> состоит в продуцировании выходных потоков из входных в соответствии с действием, задаваемым именем процесса. Каждый процесс должен иметь уникальный номер для ссылок на него внутри диаграммы.</w:t>
      </w:r>
    </w:p>
    <w:p>
      <w:pPr>
        <w:pStyle w:val="Style21"/>
        <w:rPr/>
      </w:pPr>
      <w:r>
        <w:rPr>
          <w:rFonts w:cs="Times New Roman"/>
          <w:sz w:val="24"/>
          <w:szCs w:val="24"/>
          <w:u w:val="single"/>
        </w:rPr>
        <w:t>Хранилище данных</w:t>
      </w:r>
      <w:r>
        <w:rPr>
          <w:rFonts w:cs="Times New Roman"/>
          <w:sz w:val="24"/>
          <w:szCs w:val="24"/>
        </w:rPr>
        <w:t xml:space="preserve"> позволяет на определенных участках определять данные, которые будут сохраняться в памяти между процессами. Фактически хранилища – это «срезы» потоков данных во времени. Информация, содержащаяся в хранилище может использоваться в любое время после её определения при этом данные могут выбираться в любом порядке. Имя хранилища должно идентифицировать его содержимое.</w:t>
      </w:r>
    </w:p>
    <w:p>
      <w:pPr>
        <w:pStyle w:val="Style21"/>
        <w:rPr/>
      </w:pPr>
      <w:r>
        <w:rPr>
          <w:rFonts w:cs="Times New Roman"/>
          <w:sz w:val="24"/>
          <w:szCs w:val="24"/>
          <w:u w:val="single"/>
        </w:rPr>
        <w:t>Внешняя сущность</w:t>
      </w:r>
      <w:r>
        <w:rPr>
          <w:rFonts w:cs="Times New Roman"/>
          <w:sz w:val="24"/>
          <w:szCs w:val="24"/>
        </w:rPr>
        <w:t xml:space="preserve"> представляет собой сущность вне контекста системы, являющуюся источником или приемником даны системы. Предполагается, что объекты представленные внешними сущностями не должны участвовать ни в какой обработке. Одна внешняя сущность может быть использована многократно на одной или нескольких диаграммах.</w:t>
      </w:r>
    </w:p>
    <w:p>
      <w:pPr>
        <w:pStyle w:val="Normal"/>
        <w:rPr>
          <w:rFonts w:ascii="Cambria" w:hAnsi="Cambria"/>
          <w:b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</w:r>
      <w:r>
        <w:br w:type="page"/>
      </w:r>
    </w:p>
    <w:p>
      <w:pPr>
        <w:pStyle w:val="Style22"/>
        <w:rPr/>
      </w:pPr>
      <w:bookmarkStart w:id="2" w:name="_Toc352669368"/>
      <w:bookmarkStart w:id="3" w:name="__RefHeading___Toc615_1452358796"/>
      <w:bookmarkEnd w:id="3"/>
      <w:r>
        <w:rPr/>
        <w:t xml:space="preserve">Упражнение №5. Дополнение моделей процессов диаграммой </w:t>
      </w:r>
      <w:r>
        <w:rPr>
          <w:lang w:val="en-US"/>
        </w:rPr>
        <w:t>DFD</w:t>
      </w:r>
      <w:r>
        <w:rPr/>
        <w:t>.</w:t>
      </w:r>
      <w:bookmarkEnd w:id="2"/>
      <w:r>
        <w:rPr/>
        <w:t xml:space="preserve"> </w:t>
      </w:r>
    </w:p>
    <w:p>
      <w:pPr>
        <w:pStyle w:val="Style21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Декомпозицию работы </w:t>
      </w:r>
      <w:r>
        <w:rPr>
          <w:rFonts w:cs="Times New Roman"/>
          <w:b/>
          <w:sz w:val="24"/>
          <w:szCs w:val="24"/>
        </w:rPr>
        <w:t xml:space="preserve">Выполнение запроса </w:t>
      </w:r>
      <w:r>
        <w:rPr>
          <w:rFonts w:cs="Times New Roman"/>
          <w:sz w:val="24"/>
          <w:szCs w:val="24"/>
        </w:rPr>
        <w:t>целесообразно провести при помощи диаграммы DFD. Т.к. методология IDEF0 рассматривает систему, как совокупность взаимосвязанных работ, что плохо отражает процессы обработки информации.</w:t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Выбрав работу </w:t>
      </w:r>
      <w:r>
        <w:rPr>
          <w:rFonts w:cs="Times New Roman"/>
          <w:b/>
          <w:sz w:val="24"/>
          <w:szCs w:val="24"/>
        </w:rPr>
        <w:t xml:space="preserve">Выполнение запроса </w:t>
      </w:r>
      <w:r>
        <w:rPr>
          <w:rFonts w:cs="Times New Roman"/>
          <w:sz w:val="24"/>
          <w:szCs w:val="24"/>
        </w:rPr>
        <w:t xml:space="preserve">с помощью кнопки 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09550" cy="180975"/>
            <wp:effectExtent l="0" t="0" r="0" b="0"/>
            <wp:docPr id="5" name="Рисунок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начнем построение дочерней диаграммы в нотации </w:t>
      </w:r>
      <w:r>
        <w:rPr>
          <w:rFonts w:cs="Times New Roman"/>
          <w:b/>
          <w:sz w:val="24"/>
          <w:szCs w:val="24"/>
          <w:lang w:val="en-US"/>
        </w:rPr>
        <w:t>DFD</w:t>
      </w:r>
    </w:p>
    <w:p>
      <w:pPr>
        <w:pStyle w:val="Style21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2447925"/>
            <wp:effectExtent l="0" t="0" r="0" b="0"/>
            <wp:wrapSquare wrapText="largest"/>
            <wp:docPr id="6" name="Рисунок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drawing>
          <wp:anchor behindDoc="0" distT="0" distB="0" distL="18415" distR="3175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2895"/>
            <wp:effectExtent l="0" t="0" r="0" b="0"/>
            <wp:wrapSquare wrapText="largest"/>
            <wp:docPr id="7" name="Рисунок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Все процессы обработки запросов контролируются и выполняются внутренними механизмами системы, при участии пользователя, поэтому стрелка-механизм </w:t>
      </w:r>
      <w:r>
        <w:rPr>
          <w:rFonts w:cs="Times New Roman"/>
          <w:b/>
          <w:sz w:val="24"/>
          <w:szCs w:val="24"/>
        </w:rPr>
        <w:t xml:space="preserve">Пользователь системы </w:t>
      </w:r>
      <w:r>
        <w:rPr>
          <w:rFonts w:cs="Times New Roman"/>
          <w:sz w:val="24"/>
          <w:szCs w:val="24"/>
        </w:rPr>
        <w:t xml:space="preserve">будет повторяться на декомпозированных диаграммах. Точка зрения модели, определенная ранее, не требует рассмотрения внутренних особенностей функционирования системы, поэтому затунелируем стрелку </w:t>
      </w:r>
      <w:r>
        <w:rPr>
          <w:rFonts w:cs="Times New Roman"/>
          <w:b/>
          <w:sz w:val="24"/>
          <w:szCs w:val="24"/>
        </w:rPr>
        <w:t xml:space="preserve">Пользователь системы </w:t>
      </w:r>
      <w:r>
        <w:rPr>
          <w:rFonts w:cs="Times New Roman"/>
          <w:sz w:val="24"/>
          <w:szCs w:val="24"/>
        </w:rPr>
        <w:t xml:space="preserve">с тем, чтобы не переносить её на диаграммы нижних уровней.  </w:t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Тунелирование производится удалением стрелки </w:t>
      </w:r>
      <w:r>
        <w:rPr>
          <w:rFonts w:cs="Times New Roman"/>
          <w:b/>
          <w:sz w:val="24"/>
          <w:szCs w:val="24"/>
        </w:rPr>
        <w:t xml:space="preserve">Пользователь системы </w:t>
      </w:r>
      <w:r>
        <w:rPr>
          <w:rFonts w:cs="Times New Roman"/>
          <w:sz w:val="24"/>
          <w:szCs w:val="24"/>
        </w:rPr>
        <w:t xml:space="preserve">с текущей декомпозиции </w:t>
      </w:r>
    </w:p>
    <w:p>
      <w:pPr>
        <w:pStyle w:val="Style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18415" distR="9525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2914650"/>
            <wp:effectExtent l="0" t="0" r="0" b="0"/>
            <wp:wrapSquare wrapText="largest"/>
            <wp:docPr id="8" name="Рисунок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Родительская диаграмма примет вид: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18415" distR="3175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3845"/>
            <wp:effectExtent l="0" t="0" r="0" b="0"/>
            <wp:wrapSquare wrapText="largest"/>
            <wp:docPr id="9" name="Рисунок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Декомпозируем работу </w:t>
      </w:r>
      <w:r>
        <w:rPr>
          <w:rFonts w:cs="Times New Roman"/>
          <w:b/>
          <w:sz w:val="24"/>
          <w:szCs w:val="24"/>
        </w:rPr>
        <w:t xml:space="preserve">Обработать запрос студента </w:t>
      </w:r>
      <w:r>
        <w:rPr>
          <w:rFonts w:cs="Times New Roman"/>
          <w:sz w:val="24"/>
          <w:szCs w:val="24"/>
        </w:rPr>
        <w:t>в нотации DFD.</w:t>
      </w:r>
    </w:p>
    <w:p>
      <w:pPr>
        <w:pStyle w:val="Style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92710</wp:posOffset>
            </wp:positionV>
            <wp:extent cx="4925060" cy="2447925"/>
            <wp:effectExtent l="0" t="0" r="0" b="0"/>
            <wp:wrapTopAndBottom/>
            <wp:docPr id="10" name="Рисунок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При формировании декомпозиции внесите в диаграмму имена работ:</w:t>
      </w:r>
    </w:p>
    <w:p>
      <w:pPr>
        <w:pStyle w:val="Style21"/>
        <w:widowControl/>
        <w:numPr>
          <w:ilvl w:val="0"/>
          <w:numId w:val="1"/>
        </w:numPr>
        <w:bidi w:val="0"/>
        <w:spacing w:lineRule="auto" w:line="360" w:before="0" w:after="0"/>
        <w:ind w:left="340" w:right="0" w:firstLine="794"/>
        <w:jc w:val="both"/>
        <w:rPr/>
      </w:pPr>
      <w:r>
        <w:rPr/>
        <w:t>Составить резюме</w:t>
      </w:r>
    </w:p>
    <w:p>
      <w:pPr>
        <w:pStyle w:val="Style21"/>
        <w:widowControl/>
        <w:numPr>
          <w:ilvl w:val="0"/>
          <w:numId w:val="1"/>
        </w:numPr>
        <w:bidi w:val="0"/>
        <w:spacing w:lineRule="auto" w:line="360" w:before="0" w:after="0"/>
        <w:ind w:left="340" w:right="0" w:firstLine="794"/>
        <w:jc w:val="both"/>
        <w:rPr/>
      </w:pPr>
      <w:r>
        <w:rPr/>
        <w:t>Найти данные по успеваемости</w:t>
      </w:r>
    </w:p>
    <w:p>
      <w:pPr>
        <w:pStyle w:val="Style21"/>
        <w:widowControl/>
        <w:numPr>
          <w:ilvl w:val="0"/>
          <w:numId w:val="1"/>
        </w:numPr>
        <w:bidi w:val="0"/>
        <w:spacing w:lineRule="auto" w:line="360" w:before="0" w:after="0"/>
        <w:ind w:left="340" w:right="0" w:firstLine="794"/>
        <w:jc w:val="both"/>
        <w:rPr/>
      </w:pPr>
      <w:r>
        <w:rPr/>
        <w:t>Пройти тестирование</w:t>
      </w:r>
    </w:p>
    <w:p>
      <w:pPr>
        <w:pStyle w:val="Style21"/>
        <w:rPr/>
      </w:pPr>
      <w:r>
        <w:rPr/>
        <w:drawing>
          <wp:anchor behindDoc="0" distT="0" distB="0" distL="18415" distR="317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5940425" cy="4095115"/>
            <wp:effectExtent l="0" t="0" r="0" b="0"/>
            <wp:wrapSquare wrapText="largest"/>
            <wp:docPr id="11" name="Рисунок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Теперь необходимо создать классификаторы:</w:t>
      </w:r>
    </w:p>
    <w:p>
      <w:pPr>
        <w:pStyle w:val="Style21"/>
        <w:widowControl/>
        <w:numPr>
          <w:ilvl w:val="0"/>
          <w:numId w:val="2"/>
        </w:numPr>
        <w:tabs>
          <w:tab w:val="left" w:pos="1410" w:leader="none"/>
        </w:tabs>
        <w:bidi w:val="0"/>
        <w:spacing w:lineRule="auto" w:line="360" w:before="0" w:after="0"/>
        <w:ind w:left="0" w:right="0" w:firstLine="1134"/>
        <w:jc w:val="both"/>
        <w:rPr/>
      </w:pPr>
      <w:r>
        <w:rPr/>
        <w:t>Хранилище «Резюме»</w:t>
      </w:r>
    </w:p>
    <w:p>
      <w:pPr>
        <w:pStyle w:val="Style21"/>
        <w:widowControl/>
        <w:numPr>
          <w:ilvl w:val="0"/>
          <w:numId w:val="2"/>
        </w:numPr>
        <w:tabs>
          <w:tab w:val="left" w:pos="1410" w:leader="none"/>
        </w:tabs>
        <w:bidi w:val="0"/>
        <w:spacing w:lineRule="auto" w:line="360" w:before="0" w:after="0"/>
        <w:ind w:left="0" w:right="0" w:firstLine="1134"/>
        <w:jc w:val="both"/>
        <w:rPr/>
      </w:pPr>
      <w:r>
        <w:rPr/>
        <w:t>Хранилище «Тесты»</w:t>
      </w:r>
    </w:p>
    <w:p>
      <w:pPr>
        <w:pStyle w:val="Style21"/>
        <w:widowControl/>
        <w:numPr>
          <w:ilvl w:val="0"/>
          <w:numId w:val="2"/>
        </w:numPr>
        <w:tabs>
          <w:tab w:val="left" w:pos="1410" w:leader="none"/>
        </w:tabs>
        <w:bidi w:val="0"/>
        <w:spacing w:lineRule="auto" w:line="360" w:before="0" w:after="0"/>
        <w:ind w:left="0" w:right="0" w:firstLine="1134"/>
        <w:jc w:val="both"/>
        <w:rPr/>
      </w:pPr>
      <w:r>
        <w:rPr/>
        <w:t>Хранилище «Успеваемость»</w:t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Для создания классификаторов переключиться на соответствующее окно кнопкой находящейся на верхней инструментальной панели 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685925" cy="323850"/>
            <wp:effectExtent l="0" t="0" r="0" b="0"/>
            <wp:docPr id="12" name="Рисунок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и в появившемся окне </w:t>
      </w:r>
      <w:r>
        <w:rPr>
          <w:rFonts w:cs="Times New Roman"/>
          <w:b/>
          <w:sz w:val="24"/>
          <w:szCs w:val="24"/>
        </w:rPr>
        <w:t xml:space="preserve">Классификаторы </w:t>
      </w:r>
      <w:r>
        <w:rPr>
          <w:rFonts w:cs="Times New Roman"/>
          <w:sz w:val="24"/>
          <w:szCs w:val="24"/>
        </w:rPr>
        <w:t xml:space="preserve">(вкладка </w:t>
      </w:r>
      <w:r>
        <w:rPr>
          <w:rFonts w:cs="Times New Roman"/>
          <w:b/>
          <w:sz w:val="24"/>
          <w:szCs w:val="24"/>
        </w:rPr>
        <w:t>Классификаторы</w:t>
      </w:r>
      <w:r>
        <w:rPr>
          <w:rFonts w:cs="Times New Roman"/>
          <w:sz w:val="24"/>
          <w:szCs w:val="24"/>
        </w:rPr>
        <w:t xml:space="preserve">) с помощью кнопки 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13" name="Рисунок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создать необходимые классификаторы.</w:t>
      </w:r>
    </w:p>
    <w:p>
      <w:pPr>
        <w:pStyle w:val="Style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widowControl/>
        <w:bidi w:val="0"/>
        <w:spacing w:lineRule="auto" w:line="360" w:before="0" w:after="0"/>
        <w:ind w:left="0" w:right="0" w:hanging="0"/>
        <w:jc w:val="center"/>
        <w:rPr/>
      </w:pPr>
      <w:r>
        <w:rPr/>
        <w:drawing>
          <wp:inline distT="0" distB="0" distL="0" distR="0">
            <wp:extent cx="2771775" cy="1438275"/>
            <wp:effectExtent l="0" t="0" r="0" b="0"/>
            <wp:docPr id="14" name="Рисунок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/>
      </w:pPr>
      <w:r>
        <w:rPr/>
        <w:t xml:space="preserve">Внесите в модель соответствующие хранилища данных при помощи кнопки </w:t>
      </w:r>
      <w:r>
        <w:rPr/>
        <w:drawing>
          <wp:inline distT="0" distB="0" distL="0" distR="0">
            <wp:extent cx="276225" cy="247650"/>
            <wp:effectExtent l="0" t="0" r="0" b="0"/>
            <wp:docPr id="15" name="Рисунок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 постройте DFD модель процесса.</w:t>
      </w:r>
    </w:p>
    <w:p>
      <w:pPr>
        <w:pStyle w:val="Style25"/>
        <w:rPr/>
      </w:pPr>
      <w:r>
        <w:rPr/>
        <w:drawing>
          <wp:inline distT="0" distB="0" distL="0" distR="0">
            <wp:extent cx="5940425" cy="4130040"/>
            <wp:effectExtent l="0" t="0" r="0" b="0"/>
            <wp:docPr id="16" name="Рисунок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rPr/>
      </w:pPr>
      <w:r>
        <w:rPr>
          <w:rFonts w:cs="Times New Roman"/>
          <w:sz w:val="24"/>
          <w:szCs w:val="24"/>
        </w:rPr>
        <w:t xml:space="preserve">Дополните харнилище элементом: </w:t>
      </w:r>
      <w:r>
        <w:rPr>
          <w:rFonts w:cs="Times New Roman"/>
          <w:b/>
          <w:sz w:val="24"/>
          <w:szCs w:val="24"/>
        </w:rPr>
        <w:t>Хранилище «Экспертные оценки»</w:t>
      </w:r>
    </w:p>
    <w:p>
      <w:pPr>
        <w:pStyle w:val="Style21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25"/>
        <w:rPr/>
      </w:pPr>
      <w:r>
        <w:rPr/>
        <w:drawing>
          <wp:inline distT="0" distB="0" distL="0" distR="0">
            <wp:extent cx="2590800" cy="1390650"/>
            <wp:effectExtent l="0" t="0" r="0" b="0"/>
            <wp:docPr id="1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21"/>
        <w:rPr/>
      </w:pPr>
      <w:r>
        <w:rPr/>
        <w:t>Постройте DFD модель процесса «Обработать запрос эксперта»</w:t>
      </w:r>
    </w:p>
    <w:p>
      <w:pPr>
        <w:pStyle w:val="Style25"/>
        <w:rPr/>
      </w:pPr>
      <w:r>
        <w:rPr/>
        <w:drawing>
          <wp:inline distT="0" distB="0" distL="0" distR="0">
            <wp:extent cx="5940425" cy="4136390"/>
            <wp:effectExtent l="0" t="0" r="0" b="0"/>
            <wp:docPr id="1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Times New Roman" w:hAnsi="Times New Roman" w:eastAsia="Calibri" w:cs="DejaVu Sans"/>
      <w:color w:val="00000A"/>
      <w:sz w:val="24"/>
      <w:szCs w:val="22"/>
      <w:lang w:val="ru-RU" w:eastAsia="en-US" w:bidi="ar-SA"/>
    </w:rPr>
  </w:style>
  <w:style w:type="paragraph" w:styleId="1">
    <w:name w:val="Heading 1"/>
    <w:basedOn w:val="Normal"/>
    <w:qFormat/>
    <w:pPr>
      <w:keepNext/>
      <w:keepLines/>
      <w:spacing w:lineRule="auto" w:line="360" w:before="0" w:after="0"/>
      <w:ind w:left="0" w:right="0" w:firstLine="1800"/>
      <w:jc w:val="both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Style13">
    <w:name w:val="Интернет-ссылка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sz w:val="24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Times New Roman" w:hAnsi="Times New Roman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sz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OCHeading">
    <w:name w:val="TOC Heading"/>
    <w:basedOn w:val="1"/>
    <w:qFormat/>
    <w:pPr/>
    <w:rPr/>
  </w:style>
  <w:style w:type="paragraph" w:styleId="12">
    <w:name w:val="TOC 1"/>
    <w:basedOn w:val="Normal"/>
    <w:autoRedefine/>
    <w:pPr>
      <w:spacing w:before="0" w:after="100"/>
    </w:pPr>
    <w:rPr/>
  </w:style>
  <w:style w:type="paragraph" w:styleId="22">
    <w:name w:val="TOC 2"/>
    <w:basedOn w:val="Normal"/>
    <w:autoRedefine/>
    <w:pPr>
      <w:spacing w:before="0" w:after="100"/>
      <w:ind w:left="220" w:right="0" w:hanging="0"/>
    </w:pPr>
    <w:rPr/>
  </w:style>
  <w:style w:type="paragraph" w:styleId="Style20">
    <w:name w:val="Текст в заданном формате"/>
    <w:basedOn w:val="Normal"/>
    <w:qFormat/>
    <w:pPr/>
    <w:rPr/>
  </w:style>
  <w:style w:type="paragraph" w:styleId="Style21">
    <w:name w:val="ГОСТ основной текст"/>
    <w:basedOn w:val="Style16"/>
    <w:qFormat/>
    <w:pPr>
      <w:spacing w:lineRule="auto" w:line="360" w:before="0" w:after="0"/>
      <w:ind w:left="0" w:right="0" w:firstLine="709"/>
      <w:jc w:val="both"/>
    </w:pPr>
    <w:rPr/>
  </w:style>
  <w:style w:type="paragraph" w:styleId="Style22">
    <w:name w:val="ГОСТ заголовок"/>
    <w:basedOn w:val="Style16"/>
    <w:qFormat/>
    <w:pPr>
      <w:spacing w:lineRule="auto" w:line="360" w:before="0" w:after="0"/>
      <w:ind w:left="0" w:right="0" w:firstLine="709"/>
      <w:jc w:val="both"/>
    </w:pPr>
    <w:rPr>
      <w:b/>
      <w:color w:val="000000"/>
      <w:sz w:val="28"/>
    </w:rPr>
  </w:style>
  <w:style w:type="paragraph" w:styleId="Style23">
    <w:name w:val="Body Text Indent"/>
    <w:basedOn w:val="Style16"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ГОСТ центр"/>
    <w:basedOn w:val="Style16"/>
    <w:qFormat/>
    <w:pPr>
      <w:spacing w:lineRule="auto" w:line="360" w:before="0" w:after="0"/>
      <w:jc w:val="center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Application>LibreOffice/5.1.4.2$Linux_X86_64 LibreOffice_project/10m0$Build-2</Application>
  <Pages>8</Pages>
  <Words>450</Words>
  <Characters>3275</Characters>
  <CharactersWithSpaces>3687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2013-03-31T18:10:00Z</dcterms:created>
  <dc:creator>Pony</dc:creator>
  <dc:description/>
  <dc:language>ru-RU</dc:language>
  <cp:lastModifiedBy/>
  <dcterms:modified xsi:type="dcterms:W3CDTF">2016-10-13T22:54:18Z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