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17239" w14:textId="77777777" w:rsidR="007073AA" w:rsidRDefault="007073AA" w:rsidP="007073AA"/>
    <w:p w14:paraId="6787B9CA" w14:textId="77777777" w:rsidR="007073AA" w:rsidRDefault="007073AA" w:rsidP="007073AA"/>
    <w:p w14:paraId="5CEF665A" w14:textId="77777777" w:rsidR="007073AA" w:rsidRPr="00021E0D" w:rsidRDefault="007073AA" w:rsidP="007073AA">
      <w:r>
        <w:t>To examine the source of correction, let us examine the ENS and ecPoint’s ROC curve for VRE = 99</w:t>
      </w:r>
      <w:r w:rsidRPr="062FBEE2">
        <w:rPr>
          <w:vertAlign w:val="superscript"/>
        </w:rPr>
        <w:t>th</w:t>
      </w:r>
      <w:r>
        <w:t xml:space="preserve"> percentile for day 3 forecasts (</w:t>
      </w:r>
      <w:r>
        <w:fldChar w:fldCharType="begin"/>
      </w:r>
      <w:r>
        <w:instrText xml:space="preserve"> REF _Ref99809990 \h </w:instrText>
      </w:r>
      <w:r>
        <w:fldChar w:fldCharType="separate"/>
      </w:r>
      <w:r w:rsidRPr="062FBEE2">
        <w:rPr>
          <w:b/>
          <w:bCs/>
        </w:rPr>
        <w:t xml:space="preserve">Figure </w:t>
      </w:r>
      <w:r w:rsidRPr="062FBEE2">
        <w:rPr>
          <w:b/>
          <w:bCs/>
          <w:noProof/>
        </w:rPr>
        <w:t>6</w:t>
      </w:r>
      <w:r>
        <w:fldChar w:fldCharType="end"/>
      </w:r>
      <w:r w:rsidRPr="062FBEE2">
        <w:rPr>
          <w:b/>
          <w:bCs/>
        </w:rPr>
        <w:t>b</w:t>
      </w:r>
      <w:r>
        <w:t xml:space="preserve">). In “La Costa”, ENS and ecPoint’s ROC curves may belong to the same underlying curve as they are overlapping with the exception of a couple of points, </w:t>
      </w:r>
      <w:r w:rsidRPr="062FBEE2">
        <w:rPr>
          <w:color w:val="FF0000"/>
        </w:rPr>
        <w:t xml:space="preserve">so the underlying forecast information content in the ENS forecasts might be similar by ecPoint, which would mean that the added value provided by the post-processing lies in the tail </w:t>
      </w:r>
      <w:r w:rsidRPr="062FBEE2">
        <w:rPr>
          <w:color w:val="FF0000"/>
        </w:rPr>
        <w:fldChar w:fldCharType="begin" w:fldLock="1"/>
      </w:r>
      <w:r>
        <w:rPr>
          <w:color w:val="FF0000"/>
        </w:rPr>
        <w:instrText>ADDIN CSL_CITATION {"citationItems":[{"id":"ITEM-1","itemData":{"DOI":"10.1175/waf-d-21-0195.1","author":[{"dropping-particle":"","family":"Bouallègue","given":"Zied","non-dropping-particle":"Ben","parse-names":false,"suffix":""},{"dropping-particle":"","family":"Richardson","given":"David S.","non-dropping-particle":"","parse-names":false,"suffix":""}],"container-title":"Weather and Forecasting","id":"ITEM-1","issue":"5","issued":{"date-parts":[["2022"]]},"page":"787-796","title":"On the ROC area of ensemble forecasts for rare events","type":"article-journal","volume":"37"},"uris":["http://www.mendeley.com/documents/?uuid=8e294bd1-4ae9-3fc4-aaed-56c26c16e044"]}],"mendeley":{"formattedCitation":"(Ben Bouallègue and Richardson 2022)","plainTextFormattedCitation":"(Ben Bouallègue and Richardson 2022)","previouslyFormattedCitation":"(Ben Bouallègue and Richardson 2022)"},"properties":{"noteIndex":0},"schema":"https://github.com/citation-style-language/schema/raw/master/csl-citation.json"}</w:instrText>
      </w:r>
      <w:r w:rsidRPr="062FBEE2">
        <w:rPr>
          <w:color w:val="FF0000"/>
        </w:rPr>
        <w:fldChar w:fldCharType="separate"/>
      </w:r>
      <w:r w:rsidRPr="002A1119">
        <w:rPr>
          <w:noProof/>
          <w:color w:val="FF0000"/>
        </w:rPr>
        <w:t>(Ben Bouallègue and Richardson 2022)</w:t>
      </w:r>
      <w:r w:rsidRPr="062FBEE2">
        <w:rPr>
          <w:color w:val="FF0000"/>
        </w:rPr>
        <w:fldChar w:fldCharType="end"/>
      </w:r>
      <w:r w:rsidRPr="062FBEE2">
        <w:rPr>
          <w:color w:val="FF0000"/>
        </w:rPr>
        <w:t xml:space="preserve">. </w:t>
      </w:r>
      <w:commentRangeStart w:id="0"/>
      <w:commentRangeStart w:id="1"/>
      <w:r w:rsidRPr="062FBEE2">
        <w:rPr>
          <w:color w:val="FF0000"/>
        </w:rPr>
        <w:t>Consequently, ENS will provide a very similar ability to ecPoint in identifying areas at risk of flash flood, with the advantage of using ecPoint being seen when comparing ENS and ecPoint rainfall forecasts with rainfall observations, as ecPoint is more likely to provide better guidance on the actual extreme observed rainfall totals than ENS.</w:t>
      </w:r>
      <w:commentRangeEnd w:id="0"/>
      <w:r>
        <w:rPr>
          <w:rStyle w:val="Rimandocommento"/>
        </w:rPr>
        <w:commentReference w:id="0"/>
      </w:r>
      <w:commentRangeEnd w:id="1"/>
      <w:r>
        <w:rPr>
          <w:rStyle w:val="Rimandocommento"/>
        </w:rPr>
        <w:commentReference w:id="1"/>
      </w:r>
      <w:r w:rsidRPr="062FBEE2">
        <w:rPr>
          <w:color w:val="FF0000"/>
        </w:rPr>
        <w:t xml:space="preserve"> </w:t>
      </w:r>
    </w:p>
    <w:p w14:paraId="67368114" w14:textId="77777777" w:rsidR="007073AA" w:rsidRDefault="007073AA" w:rsidP="007073AA">
      <w:pPr>
        <w:rPr>
          <w:color w:val="FF0000"/>
        </w:rPr>
      </w:pPr>
    </w:p>
    <w:p w14:paraId="3102DC2B" w14:textId="77777777" w:rsidR="007073AA" w:rsidRDefault="007073AA" w:rsidP="007073AA">
      <w:pPr>
        <w:rPr>
          <w:color w:val="FF0000"/>
        </w:rPr>
      </w:pPr>
    </w:p>
    <w:p w14:paraId="55C539C8" w14:textId="77777777" w:rsidR="007073AA" w:rsidRDefault="007073AA" w:rsidP="007073AA">
      <w:pPr>
        <w:rPr>
          <w:color w:val="FF0000"/>
        </w:rPr>
      </w:pPr>
    </w:p>
    <w:p w14:paraId="0A469789" w14:textId="77777777" w:rsidR="007073AA" w:rsidRDefault="007073AA" w:rsidP="007073AA">
      <w:pPr>
        <w:rPr>
          <w:color w:val="FF0000"/>
        </w:rPr>
      </w:pPr>
    </w:p>
    <w:p w14:paraId="51300922" w14:textId="77777777" w:rsidR="007073AA" w:rsidRDefault="007073AA" w:rsidP="007073AA">
      <w:pPr>
        <w:rPr>
          <w:color w:val="FF0000"/>
        </w:rPr>
      </w:pPr>
    </w:p>
    <w:p w14:paraId="3ADB3731" w14:textId="77777777" w:rsidR="007073AA" w:rsidRDefault="007073AA" w:rsidP="007073AA">
      <w:pPr>
        <w:rPr>
          <w:color w:val="FF0000"/>
        </w:rPr>
      </w:pPr>
    </w:p>
    <w:p w14:paraId="06E1247A" w14:textId="77777777" w:rsidR="007073AA" w:rsidRDefault="007073AA" w:rsidP="007073AA">
      <w:pPr>
        <w:rPr>
          <w:color w:val="FF0000"/>
        </w:rPr>
      </w:pPr>
    </w:p>
    <w:p w14:paraId="06410F5A" w14:textId="77777777" w:rsidR="007073AA" w:rsidRDefault="007073AA" w:rsidP="007073AA">
      <w:pPr>
        <w:rPr>
          <w:color w:val="FF0000"/>
        </w:rPr>
      </w:pPr>
    </w:p>
    <w:p w14:paraId="08F69790" w14:textId="77777777" w:rsidR="007073AA" w:rsidRDefault="007073AA" w:rsidP="007073AA">
      <w:pPr>
        <w:rPr>
          <w:color w:val="FF0000"/>
        </w:rPr>
      </w:pPr>
    </w:p>
    <w:p w14:paraId="772114B3" w14:textId="77777777" w:rsidR="007073AA" w:rsidRDefault="007073AA" w:rsidP="007073AA">
      <w:pPr>
        <w:rPr>
          <w:color w:val="FF0000"/>
        </w:rPr>
      </w:pPr>
    </w:p>
    <w:p w14:paraId="4B24095E" w14:textId="77777777" w:rsidR="007073AA" w:rsidRDefault="007073AA" w:rsidP="007073AA">
      <w:pPr>
        <w:rPr>
          <w:color w:val="FF0000"/>
        </w:rPr>
      </w:pPr>
    </w:p>
    <w:p w14:paraId="40883C2E" w14:textId="77777777" w:rsidR="007073AA" w:rsidRDefault="007073AA" w:rsidP="007073AA">
      <w:pPr>
        <w:rPr>
          <w:color w:val="FF0000"/>
        </w:rPr>
      </w:pPr>
    </w:p>
    <w:p w14:paraId="4579932B" w14:textId="77777777" w:rsidR="007073AA" w:rsidRPr="00C3124C" w:rsidRDefault="007073AA" w:rsidP="007073AA"/>
    <w:p w14:paraId="640FA605" w14:textId="77777777" w:rsidR="007073AA" w:rsidRDefault="007073AA" w:rsidP="007073AA">
      <w:pPr>
        <w:rPr>
          <w:color w:val="FF0000"/>
        </w:rPr>
      </w:pPr>
      <w:commentRangeStart w:id="2"/>
      <w:r w:rsidRPr="007F25BD">
        <w:t>As an example,</w:t>
      </w:r>
      <w:commentRangeEnd w:id="2"/>
      <w:r>
        <w:rPr>
          <w:rStyle w:val="Rimandocommento"/>
        </w:rPr>
        <w:commentReference w:id="2"/>
      </w:r>
      <w:r w:rsidRPr="007F25BD">
        <w:t xml:space="preserve"> </w:t>
      </w:r>
      <w:r w:rsidRPr="007F25BD">
        <w:fldChar w:fldCharType="begin"/>
      </w:r>
      <w:r w:rsidRPr="007F25BD">
        <w:instrText xml:space="preserve"> REF _Ref101785363 \h </w:instrText>
      </w:r>
      <w:r w:rsidRPr="007F25BD">
        <w:fldChar w:fldCharType="separate"/>
      </w:r>
      <w:r w:rsidRPr="007F25BD">
        <w:rPr>
          <w:b/>
          <w:bCs/>
        </w:rPr>
        <w:t xml:space="preserve">Figure </w:t>
      </w:r>
      <w:r w:rsidRPr="007F25BD">
        <w:rPr>
          <w:b/>
          <w:bCs/>
          <w:noProof/>
        </w:rPr>
        <w:t>5</w:t>
      </w:r>
      <w:r w:rsidRPr="007F25BD">
        <w:fldChar w:fldCharType="end"/>
      </w:r>
      <w:r w:rsidRPr="007F25BD">
        <w:t xml:space="preserve"> </w:t>
      </w:r>
      <w:commentRangeStart w:id="3"/>
      <w:commentRangeStart w:id="4"/>
      <w:commentRangeStart w:id="5"/>
      <w:r w:rsidRPr="007F25BD">
        <w:t>overlaps day 3 ENS ROC curve for VER = 85</w:t>
      </w:r>
      <w:r w:rsidRPr="007F25BD">
        <w:rPr>
          <w:vertAlign w:val="superscript"/>
        </w:rPr>
        <w:t>th</w:t>
      </w:r>
      <w:r w:rsidRPr="007F25BD">
        <w:t xml:space="preserve"> percentile (purple lines) with ecPoint’s ROC curve for VER = 99</w:t>
      </w:r>
      <w:r w:rsidRPr="007F25BD">
        <w:rPr>
          <w:vertAlign w:val="superscript"/>
        </w:rPr>
        <w:t>th</w:t>
      </w:r>
      <w:r w:rsidRPr="007F25BD">
        <w:t xml:space="preserve"> percentile (orange lines) in order to examine whether there is any point in the unit square where the hit rates for ecPoint’s AURC for VREs &gt;= 99</w:t>
      </w:r>
      <w:r w:rsidRPr="007F25BD">
        <w:rPr>
          <w:vertAlign w:val="superscript"/>
        </w:rPr>
        <w:t>th</w:t>
      </w:r>
      <w:r w:rsidRPr="007F25BD">
        <w:t xml:space="preserve"> percentile are bigger than those for ENS’s ROC curve for VREs &gt;= 85</w:t>
      </w:r>
      <w:r w:rsidRPr="007F25BD">
        <w:rPr>
          <w:vertAlign w:val="superscript"/>
        </w:rPr>
        <w:t>th</w:t>
      </w:r>
      <w:r w:rsidRPr="007F25BD">
        <w:t xml:space="preserve"> percentile</w:t>
      </w:r>
      <w:commentRangeEnd w:id="3"/>
      <w:r>
        <w:rPr>
          <w:rStyle w:val="Rimandocommento"/>
        </w:rPr>
        <w:commentReference w:id="3"/>
      </w:r>
      <w:commentRangeEnd w:id="4"/>
      <w:r>
        <w:rPr>
          <w:rStyle w:val="Rimandocommento"/>
        </w:rPr>
        <w:commentReference w:id="4"/>
      </w:r>
      <w:commentRangeEnd w:id="5"/>
      <w:r>
        <w:rPr>
          <w:rStyle w:val="Rimandocommento"/>
        </w:rPr>
        <w:commentReference w:id="5"/>
      </w:r>
      <w:r w:rsidRPr="007F25BD">
        <w:t>. In “La Costa” (</w:t>
      </w:r>
      <w:r w:rsidRPr="007F25BD">
        <w:fldChar w:fldCharType="begin"/>
      </w:r>
      <w:r w:rsidRPr="007F25BD">
        <w:instrText xml:space="preserve"> REF _Ref101785363 \h </w:instrText>
      </w:r>
      <w:r w:rsidRPr="007F25BD">
        <w:fldChar w:fldCharType="separate"/>
      </w:r>
      <w:r w:rsidRPr="007F25BD">
        <w:rPr>
          <w:b/>
          <w:bCs/>
        </w:rPr>
        <w:t xml:space="preserve">Figure </w:t>
      </w:r>
      <w:r w:rsidRPr="007F25BD">
        <w:rPr>
          <w:b/>
          <w:bCs/>
          <w:noProof/>
        </w:rPr>
        <w:t>5</w:t>
      </w:r>
      <w:r w:rsidRPr="007F25BD">
        <w:fldChar w:fldCharType="end"/>
      </w:r>
      <w:r w:rsidRPr="007F25BD">
        <w:rPr>
          <w:b/>
          <w:bCs/>
        </w:rPr>
        <w:t>a</w:t>
      </w:r>
      <w:r w:rsidRPr="007F25BD">
        <w:t>), ecPoint’s ROC curve is marginally above ENS’s ROC curve for very small false alarm rates (&lt;0.1). Above that threshold, hit rates from the ENS’s ROC curve are bigger. In “La Sierra” (</w:t>
      </w:r>
      <w:r w:rsidRPr="007F25BD">
        <w:fldChar w:fldCharType="begin"/>
      </w:r>
      <w:r w:rsidRPr="007F25BD">
        <w:instrText xml:space="preserve"> REF _Ref101785363 \h </w:instrText>
      </w:r>
      <w:r w:rsidRPr="007F25BD">
        <w:fldChar w:fldCharType="separate"/>
      </w:r>
      <w:r w:rsidRPr="007F25BD">
        <w:rPr>
          <w:b/>
          <w:bCs/>
        </w:rPr>
        <w:t xml:space="preserve">Figure </w:t>
      </w:r>
      <w:r w:rsidRPr="007F25BD">
        <w:rPr>
          <w:b/>
          <w:bCs/>
          <w:noProof/>
        </w:rPr>
        <w:t>5</w:t>
      </w:r>
      <w:r w:rsidRPr="007F25BD">
        <w:fldChar w:fldCharType="end"/>
      </w:r>
      <w:r w:rsidRPr="007F25BD">
        <w:rPr>
          <w:b/>
          <w:bCs/>
        </w:rPr>
        <w:t>b</w:t>
      </w:r>
      <w:r w:rsidRPr="007F25BD">
        <w:t xml:space="preserve">), hit rates from ENS’s ROC curve are bigger for false alarm rates smaller than 0.5, while they get closer (but still </w:t>
      </w:r>
      <w:commentRangeStart w:id="6"/>
      <w:r w:rsidRPr="007F25BD">
        <w:t>below</w:t>
      </w:r>
      <w:commentRangeEnd w:id="6"/>
      <w:r>
        <w:rPr>
          <w:rStyle w:val="Rimandocommento"/>
        </w:rPr>
        <w:commentReference w:id="6"/>
      </w:r>
      <w:r w:rsidRPr="007F25BD">
        <w:t xml:space="preserve">) for false alarm rates bigger than 0.5. </w:t>
      </w:r>
      <w:r w:rsidRPr="007F25BD">
        <w:rPr>
          <w:color w:val="FF0000"/>
        </w:rPr>
        <w:t xml:space="preserve">The relative positions of the ENS and ecPoint’s ROC curves in </w:t>
      </w:r>
      <w:r w:rsidRPr="007F25BD">
        <w:rPr>
          <w:color w:val="FF0000"/>
        </w:rPr>
        <w:fldChar w:fldCharType="begin"/>
      </w:r>
      <w:r w:rsidRPr="007F25BD">
        <w:rPr>
          <w:color w:val="FF0000"/>
        </w:rPr>
        <w:instrText xml:space="preserve"> REF _Ref101785363 \h </w:instrText>
      </w:r>
      <w:r w:rsidRPr="007F25BD">
        <w:rPr>
          <w:color w:val="FF0000"/>
        </w:rPr>
      </w:r>
      <w:r w:rsidRPr="007F25BD">
        <w:rPr>
          <w:color w:val="FF0000"/>
        </w:rPr>
        <w:fldChar w:fldCharType="separate"/>
      </w:r>
      <w:r w:rsidRPr="007F25BD">
        <w:rPr>
          <w:b/>
          <w:bCs/>
          <w:color w:val="FF0000"/>
        </w:rPr>
        <w:t xml:space="preserve">Figure </w:t>
      </w:r>
      <w:r w:rsidRPr="007F25BD">
        <w:rPr>
          <w:b/>
          <w:bCs/>
          <w:noProof/>
          <w:color w:val="FF0000"/>
        </w:rPr>
        <w:t>5</w:t>
      </w:r>
      <w:r w:rsidRPr="007F25BD">
        <w:rPr>
          <w:color w:val="FF0000"/>
        </w:rPr>
        <w:fldChar w:fldCharType="end"/>
      </w:r>
      <w:r w:rsidRPr="007F25BD">
        <w:rPr>
          <w:color w:val="FF0000"/>
        </w:rPr>
        <w:t xml:space="preserve"> shows that if the only interest is to identify areas at flash flood risk, all type of users (i.e. users with different tolerance for false alarm rates) can obtain higher hit rates from using the ENS’s 85</w:t>
      </w:r>
      <w:r w:rsidRPr="007F25BD">
        <w:rPr>
          <w:color w:val="FF0000"/>
          <w:vertAlign w:val="superscript"/>
        </w:rPr>
        <w:t>th</w:t>
      </w:r>
      <w:r w:rsidRPr="007F25BD">
        <w:rPr>
          <w:color w:val="FF0000"/>
        </w:rPr>
        <w:t xml:space="preserve"> percentile than using ecPoint’s 99</w:t>
      </w:r>
      <w:r w:rsidRPr="007F25BD">
        <w:rPr>
          <w:color w:val="FF0000"/>
          <w:vertAlign w:val="superscript"/>
        </w:rPr>
        <w:t>th</w:t>
      </w:r>
      <w:r w:rsidRPr="007F25BD">
        <w:rPr>
          <w:color w:val="FF0000"/>
        </w:rPr>
        <w:t xml:space="preserve"> percentile. </w:t>
      </w:r>
      <w:commentRangeStart w:id="7"/>
      <w:r w:rsidRPr="007F25BD">
        <w:rPr>
          <w:color w:val="FF0000"/>
        </w:rPr>
        <w:t>However, if users are also interested in validating the rainfall amounts that generated such flash flood events (which could help to increase users’ trust in the flash flood forecasts), it is likely that they will be obtained more realistic rainfall totals by using ecPoint’s 99</w:t>
      </w:r>
      <w:r w:rsidRPr="007F25BD">
        <w:rPr>
          <w:color w:val="FF0000"/>
          <w:vertAlign w:val="superscript"/>
        </w:rPr>
        <w:t>th</w:t>
      </w:r>
      <w:r w:rsidRPr="007F25BD">
        <w:rPr>
          <w:color w:val="FF0000"/>
        </w:rPr>
        <w:t xml:space="preserve"> percentile, as demonstrated by Hewson &amp; Pillosu (2021)</w:t>
      </w:r>
      <w:commentRangeEnd w:id="7"/>
      <w:r>
        <w:rPr>
          <w:rStyle w:val="Rimandocommento"/>
        </w:rPr>
        <w:commentReference w:id="7"/>
      </w:r>
      <w:r w:rsidRPr="007F25BD">
        <w:rPr>
          <w:color w:val="FF0000"/>
        </w:rPr>
        <w:t xml:space="preserve">. </w:t>
      </w:r>
      <w:commentRangeStart w:id="8"/>
      <w:r w:rsidRPr="007F25BD">
        <w:t>This aspect is also seen when comparing ENS and ecPoint’s ROC curves for VREs = 85</w:t>
      </w:r>
      <w:r w:rsidRPr="007F25BD">
        <w:rPr>
          <w:vertAlign w:val="superscript"/>
        </w:rPr>
        <w:t>th</w:t>
      </w:r>
      <w:r w:rsidRPr="007F25BD">
        <w:t xml:space="preserve"> percentile and 99</w:t>
      </w:r>
      <w:r w:rsidRPr="007F25BD">
        <w:rPr>
          <w:vertAlign w:val="superscript"/>
        </w:rPr>
        <w:t>th</w:t>
      </w:r>
      <w:r w:rsidRPr="007F25BD">
        <w:t xml:space="preserve"> percentile</w:t>
      </w:r>
      <w:commentRangeEnd w:id="8"/>
      <w:r>
        <w:rPr>
          <w:rStyle w:val="Rimandocommento"/>
        </w:rPr>
        <w:commentReference w:id="8"/>
      </w:r>
      <w:r w:rsidRPr="007F25BD">
        <w:t xml:space="preserve">. </w:t>
      </w:r>
      <w:r w:rsidRPr="007F25BD">
        <w:lastRenderedPageBreak/>
        <w:fldChar w:fldCharType="begin"/>
      </w:r>
      <w:r w:rsidRPr="007F25BD">
        <w:instrText xml:space="preserve"> REF _Ref99809990 \h </w:instrText>
      </w:r>
      <w:r w:rsidRPr="007F25BD">
        <w:fldChar w:fldCharType="separate"/>
      </w:r>
      <w:r w:rsidRPr="007F25BD">
        <w:rPr>
          <w:b/>
          <w:bCs/>
        </w:rPr>
        <w:t xml:space="preserve">Figure </w:t>
      </w:r>
      <w:r w:rsidRPr="007F25BD">
        <w:rPr>
          <w:b/>
          <w:bCs/>
          <w:noProof/>
        </w:rPr>
        <w:t>6</w:t>
      </w:r>
      <w:r w:rsidRPr="007F25BD">
        <w:fldChar w:fldCharType="end"/>
      </w:r>
      <w:r w:rsidRPr="007F25BD">
        <w:t xml:space="preserve"> </w:t>
      </w:r>
      <w:commentRangeStart w:id="9"/>
      <w:r w:rsidRPr="007F25BD">
        <w:t>shows an example of ROC curves for day 3 forecasts.</w:t>
      </w:r>
      <w:commentRangeEnd w:id="9"/>
      <w:r>
        <w:rPr>
          <w:rStyle w:val="Rimandocommento"/>
        </w:rPr>
        <w:commentReference w:id="9"/>
      </w:r>
      <w:r w:rsidRPr="007F25BD">
        <w:t xml:space="preserve"> For VREs = 85</w:t>
      </w:r>
      <w:r w:rsidRPr="007F25BD">
        <w:rPr>
          <w:vertAlign w:val="superscript"/>
        </w:rPr>
        <w:t>th</w:t>
      </w:r>
      <w:r w:rsidRPr="007F25BD">
        <w:t xml:space="preserve"> percentile (</w:t>
      </w:r>
      <w:r w:rsidRPr="007F25BD">
        <w:fldChar w:fldCharType="begin"/>
      </w:r>
      <w:r w:rsidRPr="007F25BD">
        <w:instrText xml:space="preserve"> REF _Ref99809990 \h </w:instrText>
      </w:r>
      <w:r w:rsidRPr="007F25BD">
        <w:fldChar w:fldCharType="separate"/>
      </w:r>
      <w:r w:rsidRPr="007F25BD">
        <w:rPr>
          <w:b/>
          <w:bCs/>
        </w:rPr>
        <w:t xml:space="preserve">Figure </w:t>
      </w:r>
      <w:r w:rsidRPr="007F25BD">
        <w:rPr>
          <w:b/>
          <w:bCs/>
          <w:noProof/>
        </w:rPr>
        <w:t>6</w:t>
      </w:r>
      <w:r w:rsidRPr="007F25BD">
        <w:fldChar w:fldCharType="end"/>
      </w:r>
      <w:r w:rsidRPr="007F25BD">
        <w:rPr>
          <w:b/>
          <w:bCs/>
        </w:rPr>
        <w:t>a</w:t>
      </w:r>
      <w:r w:rsidRPr="007F25BD">
        <w:t xml:space="preserve">), the ENS and ecPoint’s ROC curves are very similar in both regions (as seen also in </w:t>
      </w:r>
      <w:r w:rsidRPr="007F25BD">
        <w:fldChar w:fldCharType="begin"/>
      </w:r>
      <w:r w:rsidRPr="007F25BD">
        <w:instrText xml:space="preserve"> REF _Ref99114833 \h </w:instrText>
      </w:r>
      <w:r w:rsidRPr="007F25BD">
        <w:fldChar w:fldCharType="separate"/>
      </w:r>
      <w:r w:rsidRPr="007F25BD">
        <w:rPr>
          <w:b/>
          <w:bCs/>
        </w:rPr>
        <w:t xml:space="preserve">Figure </w:t>
      </w:r>
      <w:r w:rsidRPr="007F25BD">
        <w:rPr>
          <w:b/>
          <w:bCs/>
          <w:noProof/>
        </w:rPr>
        <w:t>4</w:t>
      </w:r>
      <w:r w:rsidRPr="007F25BD">
        <w:fldChar w:fldCharType="end"/>
      </w:r>
      <w:r w:rsidRPr="007F25BD">
        <w:rPr>
          <w:b/>
          <w:bCs/>
        </w:rPr>
        <w:t>a</w:t>
      </w:r>
      <w:r w:rsidRPr="007F25BD">
        <w:t xml:space="preserve"> and </w:t>
      </w:r>
      <w:r w:rsidRPr="007F25BD">
        <w:rPr>
          <w:b/>
          <w:bCs/>
        </w:rPr>
        <w:t>c</w:t>
      </w:r>
      <w:r w:rsidRPr="007F25BD">
        <w:t xml:space="preserve">). </w:t>
      </w:r>
      <w:commentRangeStart w:id="10"/>
      <w:r w:rsidRPr="007F25BD">
        <w:t>In addition, all points in ENS and ecPoint, contribute to the AURC</w:t>
      </w:r>
      <w:commentRangeEnd w:id="10"/>
      <w:r>
        <w:rPr>
          <w:rStyle w:val="Rimandocommento"/>
        </w:rPr>
        <w:commentReference w:id="10"/>
      </w:r>
      <w:r w:rsidRPr="007F25BD">
        <w:t xml:space="preserve">. </w:t>
      </w:r>
      <w:commentRangeStart w:id="11"/>
      <w:r w:rsidRPr="007F25BD">
        <w:t>In ENS’s ROC curve, the points that correspond to high probabilities of exceeding the VRE are those mainly contributing to the AURC</w:t>
      </w:r>
      <w:commentRangeEnd w:id="11"/>
      <w:r>
        <w:rPr>
          <w:rStyle w:val="Rimandocommento"/>
        </w:rPr>
        <w:commentReference w:id="11"/>
      </w:r>
      <w:r w:rsidRPr="007F25BD">
        <w:t xml:space="preserve">. In “La Sierra” (dashed lines in </w:t>
      </w:r>
      <w:r w:rsidRPr="007F25BD">
        <w:fldChar w:fldCharType="begin"/>
      </w:r>
      <w:r w:rsidRPr="007F25BD">
        <w:instrText xml:space="preserve"> REF _Ref99809990 \h </w:instrText>
      </w:r>
      <w:r w:rsidRPr="007F25BD">
        <w:fldChar w:fldCharType="separate"/>
      </w:r>
      <w:r w:rsidRPr="007F25BD">
        <w:rPr>
          <w:b/>
          <w:bCs/>
        </w:rPr>
        <w:t xml:space="preserve">Figure </w:t>
      </w:r>
      <w:r w:rsidRPr="007F25BD">
        <w:rPr>
          <w:b/>
          <w:bCs/>
          <w:noProof/>
        </w:rPr>
        <w:t>6</w:t>
      </w:r>
      <w:r w:rsidRPr="007F25BD">
        <w:fldChar w:fldCharType="end"/>
      </w:r>
      <w:r w:rsidRPr="007F25BD">
        <w:rPr>
          <w:b/>
          <w:bCs/>
        </w:rPr>
        <w:t>b</w:t>
      </w:r>
      <w:r w:rsidRPr="007F25BD">
        <w:t xml:space="preserve">), </w:t>
      </w:r>
      <w:commentRangeStart w:id="12"/>
      <w:r w:rsidRPr="007F25BD">
        <w:t>the points in the blue line (i.e., ecPoint ROC curve) are distinct from the points in the red line (i.e., ENS ROC curve), and are closer to the top left corner of the unit square</w:t>
      </w:r>
      <w:commentRangeEnd w:id="12"/>
      <w:r>
        <w:rPr>
          <w:rStyle w:val="Rimandocommento"/>
        </w:rPr>
        <w:commentReference w:id="12"/>
      </w:r>
      <w:r w:rsidRPr="007F25BD">
        <w:t xml:space="preserve">. </w:t>
      </w:r>
      <w:r w:rsidRPr="007F25BD">
        <w:rPr>
          <w:color w:val="FF0000"/>
        </w:rPr>
        <w:t xml:space="preserve">This is a typical result expected from an increase in forecast predictive skill of extreme rainfall events </w:t>
      </w:r>
      <w:r w:rsidRPr="007F25BD">
        <w:rPr>
          <w:color w:val="FF0000"/>
        </w:rPr>
        <w:fldChar w:fldCharType="begin" w:fldLock="1"/>
      </w:r>
      <w:r>
        <w:rPr>
          <w:color w:val="FF0000"/>
        </w:rPr>
        <w:instrText>ADDIN CSL_CITATION {"citationItems":[{"id":"ITEM-1","itemData":{"DOI":"10.1175/waf-d-21-0195.1","author":[{"dropping-particle":"","family":"Bouallègue","given":"Zied","non-dropping-particle":"Ben","parse-names":false,"suffix":""},{"dropping-particle":"","family":"Richardson","given":"David S.","non-dropping-particle":"","parse-names":false,"suffix":""}],"container-title":"Weather and Forecasting","id":"ITEM-1","issue":"5","issued":{"date-parts":[["2022"]]},"page":"787-796","title":"On the ROC area of ensemble forecasts for rare events","type":"article-journal","volume":"37"},"uris":["http://www.mendeley.com/documents/?uuid=8e294bd1-4ae9-3fc4-aaed-56c26c16e044"]}],"mendeley":{"formattedCitation":"(Ben Bouallègue and Richardson 2022)","plainTextFormattedCitation":"(Ben Bouallègue and Richardson 2022)","previouslyFormattedCitation":"(Ben Bouallègue and Richardson 2022)"},"properties":{"noteIndex":0},"schema":"https://github.com/citation-style-language/schema/raw/master/csl-citation.json"}</w:instrText>
      </w:r>
      <w:r w:rsidRPr="007F25BD">
        <w:rPr>
          <w:color w:val="FF0000"/>
        </w:rPr>
        <w:fldChar w:fldCharType="separate"/>
      </w:r>
      <w:r w:rsidRPr="002A1119">
        <w:rPr>
          <w:noProof/>
          <w:color w:val="FF0000"/>
        </w:rPr>
        <w:t>(Ben Bouallègue and Richardson 2022)</w:t>
      </w:r>
      <w:r w:rsidRPr="007F25BD">
        <w:rPr>
          <w:color w:val="FF0000"/>
        </w:rPr>
        <w:fldChar w:fldCharType="end"/>
      </w:r>
      <w:r w:rsidRPr="007F25BD">
        <w:rPr>
          <w:color w:val="FF0000"/>
        </w:rPr>
        <w:t xml:space="preserve">. </w:t>
      </w:r>
      <w:r w:rsidRPr="007F25BD">
        <w:t>Furthermore, in the ENS’s ROC curve for the VRE = 99</w:t>
      </w:r>
      <w:r w:rsidRPr="007F25BD">
        <w:rPr>
          <w:vertAlign w:val="superscript"/>
        </w:rPr>
        <w:t>th</w:t>
      </w:r>
      <w:r w:rsidRPr="007F25BD">
        <w:t xml:space="preserve"> percentile (</w:t>
      </w:r>
      <w:r w:rsidRPr="007F25BD">
        <w:fldChar w:fldCharType="begin"/>
      </w:r>
      <w:r w:rsidRPr="007F25BD">
        <w:instrText xml:space="preserve"> REF _Ref99809990 \h </w:instrText>
      </w:r>
      <w:r w:rsidRPr="007F25BD">
        <w:fldChar w:fldCharType="separate"/>
      </w:r>
      <w:r w:rsidRPr="007F25BD">
        <w:rPr>
          <w:b/>
          <w:bCs/>
        </w:rPr>
        <w:t xml:space="preserve">Figure </w:t>
      </w:r>
      <w:r w:rsidRPr="007F25BD">
        <w:rPr>
          <w:b/>
          <w:bCs/>
          <w:noProof/>
        </w:rPr>
        <w:t>6</w:t>
      </w:r>
      <w:r w:rsidRPr="007F25BD">
        <w:fldChar w:fldCharType="end"/>
      </w:r>
      <w:r w:rsidRPr="007F25BD">
        <w:rPr>
          <w:b/>
          <w:bCs/>
        </w:rPr>
        <w:t>b</w:t>
      </w:r>
      <w:r w:rsidRPr="007F25BD">
        <w:t>, dashed red line) only the points at the bottom left of the unit square contribute to the AURC; the points that correspond to the small probabilities of exceeding the VRE (i.e., &lt;10%, that correspond to last five points closer to the top right corner of the unit square) are lined up in a straight line, not providing any contribution to the AURC. Instead, the bigger contribution to AURC for ecPoint (</w:t>
      </w:r>
      <w:r w:rsidRPr="007F25BD">
        <w:fldChar w:fldCharType="begin"/>
      </w:r>
      <w:r w:rsidRPr="007F25BD">
        <w:instrText xml:space="preserve"> REF _Ref99809990 \h </w:instrText>
      </w:r>
      <w:r w:rsidRPr="007F25BD">
        <w:fldChar w:fldCharType="separate"/>
      </w:r>
      <w:r w:rsidRPr="007F25BD">
        <w:rPr>
          <w:b/>
          <w:bCs/>
        </w:rPr>
        <w:t xml:space="preserve">Figure </w:t>
      </w:r>
      <w:r w:rsidRPr="007F25BD">
        <w:rPr>
          <w:b/>
          <w:bCs/>
          <w:noProof/>
        </w:rPr>
        <w:t>6</w:t>
      </w:r>
      <w:r w:rsidRPr="007F25BD">
        <w:fldChar w:fldCharType="end"/>
      </w:r>
      <w:r w:rsidRPr="007F25BD">
        <w:rPr>
          <w:b/>
          <w:bCs/>
        </w:rPr>
        <w:t>b</w:t>
      </w:r>
      <w:r w:rsidRPr="007F25BD">
        <w:t xml:space="preserve">, dashed blue line) is provided by the small probabilities of exceeding the VRE (i.e., &lt;10%, that correspond to last 10 points closer to the top right corner of the unit square). </w:t>
      </w:r>
      <w:r w:rsidRPr="007F25BD">
        <w:rPr>
          <w:color w:val="FF0000"/>
        </w:rPr>
        <w:t>T</w:t>
      </w:r>
      <w:commentRangeStart w:id="13"/>
      <w:commentRangeStart w:id="14"/>
      <w:r w:rsidRPr="007F25BD">
        <w:rPr>
          <w:color w:val="FF0000"/>
        </w:rPr>
        <w:t>his means that, although ENS’s AURC for the VRE = 85</w:t>
      </w:r>
      <w:r w:rsidRPr="007F25BD">
        <w:rPr>
          <w:color w:val="FF0000"/>
          <w:vertAlign w:val="superscript"/>
        </w:rPr>
        <w:t>th</w:t>
      </w:r>
      <w:r w:rsidRPr="007F25BD">
        <w:rPr>
          <w:color w:val="FF0000"/>
        </w:rPr>
        <w:t xml:space="preserve"> percentile is bigger than ecPoint’s AURC for the VRE &gt;= 99</w:t>
      </w:r>
      <w:r w:rsidRPr="007F25BD">
        <w:rPr>
          <w:color w:val="FF0000"/>
          <w:vertAlign w:val="superscript"/>
        </w:rPr>
        <w:t>th</w:t>
      </w:r>
      <w:r w:rsidRPr="007F25BD">
        <w:rPr>
          <w:color w:val="FF0000"/>
        </w:rPr>
        <w:t xml:space="preserve"> percentile</w:t>
      </w:r>
      <w:commentRangeEnd w:id="13"/>
      <w:r>
        <w:rPr>
          <w:rStyle w:val="Rimandocommento"/>
        </w:rPr>
        <w:commentReference w:id="13"/>
      </w:r>
      <w:commentRangeEnd w:id="14"/>
      <w:r>
        <w:rPr>
          <w:rStyle w:val="Rimandocommento"/>
        </w:rPr>
        <w:commentReference w:id="14"/>
      </w:r>
      <w:r w:rsidRPr="007F25BD">
        <w:rPr>
          <w:color w:val="FF0000"/>
        </w:rPr>
        <w:t xml:space="preserve"> (as shown in </w:t>
      </w:r>
      <w:r w:rsidRPr="007F25BD">
        <w:rPr>
          <w:color w:val="FF0000"/>
        </w:rPr>
        <w:fldChar w:fldCharType="begin"/>
      </w:r>
      <w:r w:rsidRPr="007F25BD">
        <w:rPr>
          <w:color w:val="FF0000"/>
        </w:rPr>
        <w:instrText xml:space="preserve"> REF _Ref101785363 \h </w:instrText>
      </w:r>
      <w:r w:rsidRPr="007F25BD">
        <w:rPr>
          <w:color w:val="FF0000"/>
        </w:rPr>
      </w:r>
      <w:r w:rsidRPr="007F25BD">
        <w:rPr>
          <w:color w:val="FF0000"/>
        </w:rPr>
        <w:fldChar w:fldCharType="separate"/>
      </w:r>
      <w:r w:rsidRPr="007F25BD">
        <w:rPr>
          <w:b/>
          <w:bCs/>
          <w:color w:val="FF0000"/>
        </w:rPr>
        <w:t xml:space="preserve">Figure </w:t>
      </w:r>
      <w:r w:rsidRPr="007F25BD">
        <w:rPr>
          <w:b/>
          <w:bCs/>
          <w:noProof/>
          <w:color w:val="FF0000"/>
        </w:rPr>
        <w:t>5</w:t>
      </w:r>
      <w:r w:rsidRPr="007F25BD">
        <w:rPr>
          <w:color w:val="FF0000"/>
        </w:rPr>
        <w:fldChar w:fldCharType="end"/>
      </w:r>
      <w:r w:rsidRPr="007F25BD">
        <w:rPr>
          <w:color w:val="FF0000"/>
        </w:rPr>
        <w:t xml:space="preserve">), the skill in identifying areas at flash flood risk comes from different sources i.e., small probabilities of exceeding high rainfall totals for ecPoint (dashed blue line in </w:t>
      </w:r>
      <w:r w:rsidRPr="007F25BD">
        <w:rPr>
          <w:color w:val="FF0000"/>
        </w:rPr>
        <w:fldChar w:fldCharType="begin"/>
      </w:r>
      <w:r w:rsidRPr="007F25BD">
        <w:rPr>
          <w:color w:val="FF0000"/>
        </w:rPr>
        <w:instrText xml:space="preserve"> REF _Ref99809990 \h </w:instrText>
      </w:r>
      <w:r w:rsidRPr="007F25BD">
        <w:rPr>
          <w:color w:val="FF0000"/>
        </w:rPr>
      </w:r>
      <w:r w:rsidRPr="007F25BD">
        <w:rPr>
          <w:color w:val="FF0000"/>
        </w:rPr>
        <w:fldChar w:fldCharType="separate"/>
      </w:r>
      <w:r w:rsidRPr="007F25BD">
        <w:rPr>
          <w:b/>
          <w:bCs/>
          <w:color w:val="FF0000"/>
        </w:rPr>
        <w:t xml:space="preserve">Figure </w:t>
      </w:r>
      <w:r w:rsidRPr="007F25BD">
        <w:rPr>
          <w:b/>
          <w:bCs/>
          <w:noProof/>
          <w:color w:val="FF0000"/>
        </w:rPr>
        <w:t>6</w:t>
      </w:r>
      <w:r w:rsidRPr="007F25BD">
        <w:rPr>
          <w:color w:val="FF0000"/>
        </w:rPr>
        <w:fldChar w:fldCharType="end"/>
      </w:r>
      <w:r w:rsidRPr="007F25BD">
        <w:rPr>
          <w:b/>
          <w:bCs/>
          <w:color w:val="FF0000"/>
        </w:rPr>
        <w:t>b</w:t>
      </w:r>
      <w:r w:rsidRPr="007F25BD">
        <w:rPr>
          <w:color w:val="FF0000"/>
        </w:rPr>
        <w:t xml:space="preserve">) and high probabilities of exceeding small rainfall totals for ENS (dashed red line in </w:t>
      </w:r>
      <w:r w:rsidRPr="007F25BD">
        <w:rPr>
          <w:color w:val="FF0000"/>
        </w:rPr>
        <w:fldChar w:fldCharType="begin"/>
      </w:r>
      <w:r w:rsidRPr="007F25BD">
        <w:rPr>
          <w:color w:val="FF0000"/>
        </w:rPr>
        <w:instrText xml:space="preserve"> REF _Ref99809990 \h </w:instrText>
      </w:r>
      <w:r w:rsidRPr="007F25BD">
        <w:rPr>
          <w:color w:val="FF0000"/>
        </w:rPr>
      </w:r>
      <w:r w:rsidRPr="007F25BD">
        <w:rPr>
          <w:color w:val="FF0000"/>
        </w:rPr>
        <w:fldChar w:fldCharType="separate"/>
      </w:r>
      <w:r w:rsidRPr="007F25BD">
        <w:rPr>
          <w:b/>
          <w:bCs/>
          <w:color w:val="FF0000"/>
        </w:rPr>
        <w:t xml:space="preserve">Figure </w:t>
      </w:r>
      <w:r w:rsidRPr="007F25BD">
        <w:rPr>
          <w:b/>
          <w:bCs/>
          <w:noProof/>
          <w:color w:val="FF0000"/>
        </w:rPr>
        <w:t>6</w:t>
      </w:r>
      <w:r w:rsidRPr="007F25BD">
        <w:rPr>
          <w:color w:val="FF0000"/>
        </w:rPr>
        <w:fldChar w:fldCharType="end"/>
      </w:r>
      <w:r w:rsidRPr="007F25BD">
        <w:rPr>
          <w:b/>
          <w:bCs/>
          <w:color w:val="FF0000"/>
        </w:rPr>
        <w:t>a</w:t>
      </w:r>
      <w:r w:rsidRPr="007F25BD">
        <w:rPr>
          <w:color w:val="FF0000"/>
        </w:rPr>
        <w:t xml:space="preserve">). </w:t>
      </w:r>
    </w:p>
    <w:p w14:paraId="6F103246" w14:textId="29ABEB4C" w:rsidR="0085086A" w:rsidRDefault="0085086A"/>
    <w:p w14:paraId="436E7A35" w14:textId="0F73C781" w:rsidR="00702CDE" w:rsidRDefault="00702CDE"/>
    <w:p w14:paraId="67B95AD4" w14:textId="01362332" w:rsidR="00702CDE" w:rsidRDefault="00702CDE"/>
    <w:p w14:paraId="14F0EB31" w14:textId="6BF45D9C" w:rsidR="00702CDE" w:rsidRDefault="00702CDE"/>
    <w:p w14:paraId="7C5C19A8" w14:textId="77777777" w:rsidR="00702CDE" w:rsidRPr="007F25BD" w:rsidRDefault="00702CDE" w:rsidP="00702CDE">
      <w:pPr>
        <w:pStyle w:val="FiguresCaption"/>
        <w:keepNext/>
        <w:ind w:firstLine="0"/>
        <w:jc w:val="center"/>
      </w:pPr>
      <w:r w:rsidRPr="007F25BD">
        <w:rPr>
          <w:noProof/>
        </w:rPr>
        <w:drawing>
          <wp:inline distT="0" distB="0" distL="0" distR="0" wp14:anchorId="7D541D80" wp14:editId="1EFCB4DB">
            <wp:extent cx="5148072" cy="2557272"/>
            <wp:effectExtent l="0" t="0" r="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8072" cy="2557272"/>
                    </a:xfrm>
                    <a:prstGeom prst="rect">
                      <a:avLst/>
                    </a:prstGeom>
                  </pic:spPr>
                </pic:pic>
              </a:graphicData>
            </a:graphic>
          </wp:inline>
        </w:drawing>
      </w:r>
    </w:p>
    <w:p w14:paraId="745139B0" w14:textId="77777777" w:rsidR="00702CDE" w:rsidRPr="007F25BD" w:rsidRDefault="00702CDE" w:rsidP="00702CDE">
      <w:pPr>
        <w:pStyle w:val="FiguresCaption"/>
      </w:pPr>
      <w:bookmarkStart w:id="15" w:name="_Ref101785363"/>
      <w:r w:rsidRPr="007F25BD">
        <w:rPr>
          <w:b/>
          <w:bCs/>
        </w:rPr>
        <w:t xml:space="preserve">Figure </w:t>
      </w:r>
      <w:r w:rsidRPr="007F25BD">
        <w:rPr>
          <w:b/>
          <w:bCs/>
        </w:rPr>
        <w:fldChar w:fldCharType="begin"/>
      </w:r>
      <w:r w:rsidRPr="007F25BD">
        <w:rPr>
          <w:b/>
          <w:bCs/>
        </w:rPr>
        <w:instrText>SEQ Figure \* ARABIC</w:instrText>
      </w:r>
      <w:r w:rsidRPr="007F25BD">
        <w:rPr>
          <w:b/>
          <w:bCs/>
        </w:rPr>
        <w:fldChar w:fldCharType="separate"/>
      </w:r>
      <w:r>
        <w:rPr>
          <w:b/>
          <w:bCs/>
          <w:noProof/>
        </w:rPr>
        <w:t>6</w:t>
      </w:r>
      <w:r w:rsidRPr="007F25BD">
        <w:rPr>
          <w:b/>
          <w:bCs/>
        </w:rPr>
        <w:fldChar w:fldCharType="end"/>
      </w:r>
      <w:bookmarkEnd w:id="15"/>
      <w:r w:rsidRPr="007F25BD">
        <w:t xml:space="preserve"> – ENS ROC curves for VREs = 85</w:t>
      </w:r>
      <w:r w:rsidRPr="007F25BD">
        <w:rPr>
          <w:vertAlign w:val="superscript"/>
        </w:rPr>
        <w:t>th</w:t>
      </w:r>
      <w:r w:rsidRPr="007F25BD">
        <w:t xml:space="preserve"> percentile in purple, and ENS ROC curves for VRE=99</w:t>
      </w:r>
      <w:r w:rsidRPr="007F25BD">
        <w:rPr>
          <w:vertAlign w:val="superscript"/>
        </w:rPr>
        <w:t>th</w:t>
      </w:r>
      <w:r w:rsidRPr="007F25BD">
        <w:t xml:space="preserve"> percentile in orange. Panels (a) and (b) show ROC curves for “La Costa” and “La Sierra”, respectively. ROC curves are for the lead time step at the end of the 12-hourly accumulation period t+72 (i.e., day 3 forecasts), whose valid time corresponds to the accumulation period between 0600-1800 LT.</w:t>
      </w:r>
    </w:p>
    <w:p w14:paraId="6B1F1849" w14:textId="77777777" w:rsidR="00702CDE" w:rsidRPr="007F25BD" w:rsidRDefault="00702CDE" w:rsidP="00702CDE">
      <w:pPr>
        <w:pStyle w:val="FiguresCaption"/>
      </w:pPr>
    </w:p>
    <w:p w14:paraId="22F39265" w14:textId="77777777" w:rsidR="00702CDE" w:rsidRPr="007F25BD" w:rsidRDefault="00702CDE" w:rsidP="00702CDE">
      <w:pPr>
        <w:pStyle w:val="FiguresCaption"/>
      </w:pPr>
    </w:p>
    <w:p w14:paraId="7543F97D" w14:textId="77777777" w:rsidR="00702CDE" w:rsidRPr="007F25BD" w:rsidRDefault="00702CDE" w:rsidP="00702CDE">
      <w:pPr>
        <w:pStyle w:val="FiguresCaption"/>
      </w:pPr>
    </w:p>
    <w:p w14:paraId="4BC73795" w14:textId="77777777" w:rsidR="00702CDE" w:rsidRPr="007F25BD" w:rsidRDefault="00702CDE" w:rsidP="00702CDE">
      <w:pPr>
        <w:pStyle w:val="FiguresCaption"/>
      </w:pPr>
    </w:p>
    <w:p w14:paraId="34AC1CAE" w14:textId="77777777" w:rsidR="00702CDE" w:rsidRPr="007F25BD" w:rsidRDefault="00702CDE" w:rsidP="00702CDE">
      <w:pPr>
        <w:pStyle w:val="FiguresCaption"/>
      </w:pPr>
    </w:p>
    <w:p w14:paraId="49D518FA" w14:textId="77777777" w:rsidR="00702CDE" w:rsidRPr="007F25BD" w:rsidRDefault="00702CDE" w:rsidP="00702CDE">
      <w:pPr>
        <w:pStyle w:val="FiguresCaption"/>
      </w:pPr>
    </w:p>
    <w:p w14:paraId="0F2BF987" w14:textId="77777777" w:rsidR="00702CDE" w:rsidRPr="007F25BD" w:rsidRDefault="00702CDE" w:rsidP="00702CDE">
      <w:pPr>
        <w:pStyle w:val="FiguresCaption"/>
      </w:pPr>
    </w:p>
    <w:p w14:paraId="25106731" w14:textId="77777777" w:rsidR="00702CDE" w:rsidRPr="007F25BD" w:rsidRDefault="00702CDE" w:rsidP="00702CDE">
      <w:pPr>
        <w:pStyle w:val="FiguresCaption"/>
      </w:pPr>
    </w:p>
    <w:p w14:paraId="015390A8" w14:textId="77777777" w:rsidR="00702CDE" w:rsidRPr="007F25BD" w:rsidRDefault="00702CDE" w:rsidP="00702CDE">
      <w:pPr>
        <w:pStyle w:val="FiguresCaption"/>
      </w:pPr>
    </w:p>
    <w:p w14:paraId="7DE125F0" w14:textId="77777777" w:rsidR="00702CDE" w:rsidRPr="007F25BD" w:rsidRDefault="00702CDE" w:rsidP="00702CDE">
      <w:pPr>
        <w:pStyle w:val="FiguresCaption"/>
        <w:ind w:firstLine="0"/>
        <w:jc w:val="center"/>
      </w:pPr>
    </w:p>
    <w:p w14:paraId="41796F23" w14:textId="77777777" w:rsidR="00702CDE" w:rsidRPr="007F25BD" w:rsidRDefault="00702CDE" w:rsidP="00702CDE">
      <w:pPr>
        <w:pStyle w:val="FiguresCaption"/>
        <w:keepNext/>
        <w:jc w:val="center"/>
      </w:pPr>
      <w:r w:rsidRPr="007F25BD">
        <w:rPr>
          <w:noProof/>
        </w:rPr>
        <w:drawing>
          <wp:inline distT="0" distB="0" distL="0" distR="0" wp14:anchorId="5FB30B0D" wp14:editId="72BBD53A">
            <wp:extent cx="2465222" cy="4069080"/>
            <wp:effectExtent l="0" t="0" r="0"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5222" cy="4069080"/>
                    </a:xfrm>
                    <a:prstGeom prst="rect">
                      <a:avLst/>
                    </a:prstGeom>
                  </pic:spPr>
                </pic:pic>
              </a:graphicData>
            </a:graphic>
          </wp:inline>
        </w:drawing>
      </w:r>
    </w:p>
    <w:p w14:paraId="6AA955F9" w14:textId="77777777" w:rsidR="00702CDE" w:rsidRPr="007F25BD" w:rsidRDefault="00702CDE" w:rsidP="00702CDE">
      <w:pPr>
        <w:pStyle w:val="FiguresCaption"/>
        <w:rPr>
          <w:b/>
          <w:bCs/>
        </w:rPr>
      </w:pPr>
      <w:bookmarkStart w:id="16" w:name="_Ref99809990"/>
      <w:r w:rsidRPr="007F25BD">
        <w:rPr>
          <w:b/>
          <w:bCs/>
        </w:rPr>
        <w:t xml:space="preserve">Figure </w:t>
      </w:r>
      <w:r w:rsidRPr="007F25BD">
        <w:rPr>
          <w:b/>
          <w:bCs/>
        </w:rPr>
        <w:fldChar w:fldCharType="begin"/>
      </w:r>
      <w:r w:rsidRPr="007F25BD">
        <w:rPr>
          <w:b/>
          <w:bCs/>
        </w:rPr>
        <w:instrText xml:space="preserve"> SEQ Figure \* ARABIC </w:instrText>
      </w:r>
      <w:r w:rsidRPr="007F25BD">
        <w:rPr>
          <w:b/>
          <w:bCs/>
        </w:rPr>
        <w:fldChar w:fldCharType="separate"/>
      </w:r>
      <w:r>
        <w:rPr>
          <w:b/>
          <w:bCs/>
          <w:noProof/>
        </w:rPr>
        <w:t>7</w:t>
      </w:r>
      <w:r w:rsidRPr="007F25BD">
        <w:rPr>
          <w:b/>
          <w:bCs/>
        </w:rPr>
        <w:fldChar w:fldCharType="end"/>
      </w:r>
      <w:bookmarkEnd w:id="16"/>
      <w:r w:rsidRPr="007F25BD">
        <w:t xml:space="preserve"> – ROC curves for the lead time step at the end of the 12-hourly accumulation period t+72 (i.e., day 3 forecasts), whose valid time corresponds to the accumulation period between 0600-1800 LT. Panel (a) and (b) show, respectively, the ROC curve for the 85</w:t>
      </w:r>
      <w:r w:rsidRPr="007F25BD">
        <w:rPr>
          <w:vertAlign w:val="superscript"/>
        </w:rPr>
        <w:t>th</w:t>
      </w:r>
      <w:r w:rsidRPr="007F25BD">
        <w:t xml:space="preserve"> and the 99</w:t>
      </w:r>
      <w:r w:rsidRPr="007F25BD">
        <w:rPr>
          <w:vertAlign w:val="superscript"/>
        </w:rPr>
        <w:t>th</w:t>
      </w:r>
      <w:r w:rsidRPr="007F25BD">
        <w:t xml:space="preserve"> percentiles.</w:t>
      </w:r>
      <w:r w:rsidRPr="007F25BD">
        <w:rPr>
          <w:b/>
          <w:bCs/>
        </w:rPr>
        <w:t xml:space="preserve"> </w:t>
      </w:r>
      <w:r w:rsidRPr="007F25BD">
        <w:t xml:space="preserve">Continues and dashed lines correspond, respectively, to “La Costa” and “La Sierra”. Read and blue lines correspond, respectively, to ENS and ecPoint. </w:t>
      </w:r>
    </w:p>
    <w:p w14:paraId="18B82109" w14:textId="77777777" w:rsidR="00702CDE" w:rsidRDefault="00702CDE"/>
    <w:sectPr w:rsidR="00702CDE" w:rsidSect="008906CF">
      <w:type w:val="continuous"/>
      <w:pgSz w:w="11906" w:h="16838"/>
      <w:pgMar w:top="1418" w:right="1134" w:bottom="1134"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2-05-16T10:45:00Z" w:initials="GU">
    <w:p w14:paraId="47610002" w14:textId="77777777" w:rsidR="007073AA" w:rsidRDefault="007073AA" w:rsidP="007073AA">
      <w:pPr>
        <w:pStyle w:val="Testocommento"/>
      </w:pPr>
      <w:proofErr w:type="spellStart"/>
      <w:r>
        <w:t>christel</w:t>
      </w:r>
      <w:proofErr w:type="spellEnd"/>
      <w:r>
        <w:t xml:space="preserve">. not clear. And </w:t>
      </w:r>
      <w:proofErr w:type="spellStart"/>
      <w:r>
        <w:t>shouldn;t</w:t>
      </w:r>
      <w:proofErr w:type="spellEnd"/>
      <w:r>
        <w:t xml:space="preserve"> this be in discussion?</w:t>
      </w:r>
      <w:r>
        <w:rPr>
          <w:rStyle w:val="Rimandocommento"/>
        </w:rPr>
        <w:annotationRef/>
      </w:r>
    </w:p>
  </w:comment>
  <w:comment w:id="1" w:author="Guest User" w:date="2022-05-16T10:46:00Z" w:initials="GU">
    <w:p w14:paraId="6F4A1FAB" w14:textId="77777777" w:rsidR="007073AA" w:rsidRDefault="007073AA" w:rsidP="007073AA">
      <w:pPr>
        <w:pStyle w:val="Testocommento"/>
      </w:pPr>
      <w:proofErr w:type="spellStart"/>
      <w:r>
        <w:t>christel</w:t>
      </w:r>
      <w:proofErr w:type="spellEnd"/>
      <w:r>
        <w:t>: and I am not sure what it has got to do with the diurnal cycle either</w:t>
      </w:r>
      <w:r>
        <w:rPr>
          <w:rStyle w:val="Rimandocommento"/>
        </w:rPr>
        <w:annotationRef/>
      </w:r>
    </w:p>
  </w:comment>
  <w:comment w:id="2" w:author="Guest User" w:date="2022-05-25T11:47:00Z" w:initials="GU">
    <w:p w14:paraId="09ADE640" w14:textId="77777777" w:rsidR="007073AA" w:rsidRDefault="007073AA" w:rsidP="007073AA">
      <w:pPr>
        <w:pStyle w:val="Testocommento"/>
      </w:pPr>
      <w:proofErr w:type="spellStart"/>
      <w:r>
        <w:t>christel</w:t>
      </w:r>
      <w:proofErr w:type="spellEnd"/>
      <w:r>
        <w:t xml:space="preserve">: (for the rest of the paragraph): </w:t>
      </w:r>
      <w:proofErr w:type="spellStart"/>
      <w:r>
        <w:t>isnt</w:t>
      </w:r>
      <w:proofErr w:type="spellEnd"/>
      <w:r>
        <w:t xml:space="preserve"> this </w:t>
      </w:r>
      <w:proofErr w:type="gramStart"/>
      <w:r>
        <w:t>figure</w:t>
      </w:r>
      <w:proofErr w:type="gramEnd"/>
      <w:r>
        <w:t xml:space="preserve"> and the discussion related to the comment above on the </w:t>
      </w:r>
      <w:proofErr w:type="spellStart"/>
      <w:r>
        <w:t>discriminination</w:t>
      </w:r>
      <w:proofErr w:type="spellEnd"/>
      <w:r>
        <w:t xml:space="preserve"> power? I think both paragraph should be merged and simplified: fig 5: are the legend for the </w:t>
      </w:r>
      <w:proofErr w:type="gramStart"/>
      <w:r>
        <w:t>curves</w:t>
      </w:r>
      <w:proofErr w:type="gramEnd"/>
      <w:r>
        <w:t xml:space="preserve"> correct? I am confused by them</w:t>
      </w:r>
      <w:r>
        <w:rPr>
          <w:rStyle w:val="Rimandocommento"/>
        </w:rPr>
        <w:annotationRef/>
      </w:r>
    </w:p>
  </w:comment>
  <w:comment w:id="3" w:author="Guest User" w:date="2022-05-16T10:20:00Z" w:initials="GU">
    <w:p w14:paraId="6F66D3EE" w14:textId="77777777" w:rsidR="007073AA" w:rsidRDefault="007073AA" w:rsidP="007073AA">
      <w:pPr>
        <w:pStyle w:val="Testocommento"/>
      </w:pPr>
      <w:proofErr w:type="spellStart"/>
      <w:r>
        <w:t>christel</w:t>
      </w:r>
      <w:proofErr w:type="spellEnd"/>
      <w:r>
        <w:t xml:space="preserve">: sorry this is a very complicated sentence. I </w:t>
      </w:r>
      <w:proofErr w:type="spellStart"/>
      <w:r>
        <w:t>don;t</w:t>
      </w:r>
      <w:proofErr w:type="spellEnd"/>
      <w:r>
        <w:t xml:space="preserve"> </w:t>
      </w:r>
      <w:proofErr w:type="gramStart"/>
      <w:r>
        <w:t>understand</w:t>
      </w:r>
      <w:proofErr w:type="gramEnd"/>
      <w:r>
        <w:t xml:space="preserve"> what you are saying and why</w:t>
      </w:r>
      <w:r>
        <w:rPr>
          <w:rStyle w:val="Rimandocommento"/>
        </w:rPr>
        <w:annotationRef/>
      </w:r>
    </w:p>
  </w:comment>
  <w:comment w:id="4" w:author="Guest User" w:date="2022-05-16T10:21:00Z" w:initials="GU">
    <w:p w14:paraId="56DD3185" w14:textId="77777777" w:rsidR="007073AA" w:rsidRDefault="007073AA" w:rsidP="007073AA">
      <w:pPr>
        <w:pStyle w:val="Testocommento"/>
      </w:pPr>
      <w:proofErr w:type="spellStart"/>
      <w:r>
        <w:t>christel</w:t>
      </w:r>
      <w:proofErr w:type="spellEnd"/>
      <w:r>
        <w:t>: do you actually need it? (</w:t>
      </w:r>
      <w:proofErr w:type="gramStart"/>
      <w:r>
        <w:t>sorry</w:t>
      </w:r>
      <w:proofErr w:type="gramEnd"/>
      <w:r>
        <w:t xml:space="preserve"> it is difficult to review with the figures so far down in the paper)</w:t>
      </w:r>
      <w:r>
        <w:rPr>
          <w:rStyle w:val="Rimandocommento"/>
        </w:rPr>
        <w:annotationRef/>
      </w:r>
    </w:p>
  </w:comment>
  <w:comment w:id="5" w:author="Guest User" w:date="2022-05-25T11:49:00Z" w:initials="GU">
    <w:p w14:paraId="7EC1900F" w14:textId="77777777" w:rsidR="007073AA" w:rsidRDefault="007073AA" w:rsidP="007073AA">
      <w:pPr>
        <w:pStyle w:val="Testocommento"/>
      </w:pPr>
      <w:proofErr w:type="spellStart"/>
      <w:r>
        <w:t>christel</w:t>
      </w:r>
      <w:proofErr w:type="spellEnd"/>
      <w:r>
        <w:t xml:space="preserve">: another comment. I </w:t>
      </w:r>
      <w:proofErr w:type="spellStart"/>
      <w:r>
        <w:t>don;t</w:t>
      </w:r>
      <w:proofErr w:type="spellEnd"/>
      <w:r>
        <w:t xml:space="preserve"> quite </w:t>
      </w:r>
      <w:proofErr w:type="gramStart"/>
      <w:r>
        <w:t>follow</w:t>
      </w:r>
      <w:proofErr w:type="gramEnd"/>
      <w:r>
        <w:t xml:space="preserve"> the </w:t>
      </w:r>
      <w:proofErr w:type="spellStart"/>
      <w:r>
        <w:t>rationalle</w:t>
      </w:r>
      <w:proofErr w:type="spellEnd"/>
      <w:r>
        <w:t xml:space="preserve"> of </w:t>
      </w:r>
      <w:proofErr w:type="spellStart"/>
      <w:r>
        <w:t>comapring</w:t>
      </w:r>
      <w:proofErr w:type="spellEnd"/>
      <w:r>
        <w:t xml:space="preserve"> ENS ROC and ecPoint ROC for 2 different rainfall severity events. What are you trying to prove here?</w:t>
      </w:r>
      <w:r>
        <w:rPr>
          <w:rStyle w:val="Rimandocommento"/>
        </w:rPr>
        <w:annotationRef/>
      </w:r>
    </w:p>
  </w:comment>
  <w:comment w:id="6" w:author="Guest User" w:date="2022-05-25T11:51:00Z" w:initials="GU">
    <w:p w14:paraId="62C079FF" w14:textId="77777777" w:rsidR="007073AA" w:rsidRDefault="007073AA" w:rsidP="007073AA">
      <w:pPr>
        <w:pStyle w:val="Testocommento"/>
      </w:pPr>
      <w:r>
        <w:t xml:space="preserve">above? </w:t>
      </w:r>
      <w:proofErr w:type="spellStart"/>
      <w:r>
        <w:t>isn;t</w:t>
      </w:r>
      <w:proofErr w:type="spellEnd"/>
      <w:r>
        <w:t xml:space="preserve"> the purple curve always above the orange in la </w:t>
      </w:r>
      <w:proofErr w:type="spellStart"/>
      <w:r>
        <w:t>sierra</w:t>
      </w:r>
      <w:proofErr w:type="spellEnd"/>
      <w:r>
        <w:t>?</w:t>
      </w:r>
      <w:r>
        <w:rPr>
          <w:rStyle w:val="Rimandocommento"/>
        </w:rPr>
        <w:annotationRef/>
      </w:r>
    </w:p>
  </w:comment>
  <w:comment w:id="7" w:author="Guest User" w:date="2022-05-16T10:23:00Z" w:initials="GU">
    <w:p w14:paraId="0D1510DE" w14:textId="77777777" w:rsidR="007073AA" w:rsidRDefault="007073AA" w:rsidP="007073AA">
      <w:pPr>
        <w:pStyle w:val="Testocommento"/>
      </w:pPr>
      <w:proofErr w:type="spellStart"/>
      <w:r>
        <w:t>christel</w:t>
      </w:r>
      <w:proofErr w:type="spellEnd"/>
      <w:r>
        <w:t>: do you have any evidence of this? I cannot see it straight away. so you are saying: ENS is actually better than ecPoint in terms of event discrimination according to ROC. But why should ecPoint be used? This is not clear to me</w:t>
      </w:r>
      <w:r>
        <w:rPr>
          <w:rStyle w:val="Rimandocommento"/>
        </w:rPr>
        <w:annotationRef/>
      </w:r>
    </w:p>
  </w:comment>
  <w:comment w:id="8" w:author="Guest User" w:date="2022-05-16T10:25:00Z" w:initials="GU">
    <w:p w14:paraId="7C34D755" w14:textId="77777777" w:rsidR="007073AA" w:rsidRDefault="007073AA" w:rsidP="007073AA">
      <w:pPr>
        <w:pStyle w:val="Testocommento"/>
      </w:pPr>
      <w:proofErr w:type="spellStart"/>
      <w:r>
        <w:t>christel</w:t>
      </w:r>
      <w:proofErr w:type="spellEnd"/>
      <w:r>
        <w:t>: which aspect?</w:t>
      </w:r>
      <w:r>
        <w:rPr>
          <w:rStyle w:val="Rimandocommento"/>
        </w:rPr>
        <w:annotationRef/>
      </w:r>
    </w:p>
  </w:comment>
  <w:comment w:id="9" w:author="Guest User" w:date="2022-05-25T11:55:00Z" w:initials="GU">
    <w:p w14:paraId="1235CB0C" w14:textId="77777777" w:rsidR="007073AA" w:rsidRDefault="007073AA" w:rsidP="007073AA">
      <w:pPr>
        <w:pStyle w:val="Testocommento"/>
      </w:pPr>
      <w:proofErr w:type="spellStart"/>
      <w:r>
        <w:t>christel</w:t>
      </w:r>
      <w:proofErr w:type="spellEnd"/>
      <w:r>
        <w:t>: what is the difference with fig 5? What new message do you want to say?</w:t>
      </w:r>
      <w:r>
        <w:rPr>
          <w:rStyle w:val="Rimandocommento"/>
        </w:rPr>
        <w:annotationRef/>
      </w:r>
    </w:p>
  </w:comment>
  <w:comment w:id="10" w:author="Guest User" w:date="2022-05-16T10:26:00Z" w:initials="GU">
    <w:p w14:paraId="34BB45E1" w14:textId="77777777" w:rsidR="007073AA" w:rsidRDefault="007073AA" w:rsidP="007073AA">
      <w:pPr>
        <w:pStyle w:val="Testocommento"/>
      </w:pPr>
      <w:proofErr w:type="spellStart"/>
      <w:r>
        <w:t>christel</w:t>
      </w:r>
      <w:proofErr w:type="spellEnd"/>
      <w:r>
        <w:t xml:space="preserve">: </w:t>
      </w:r>
      <w:proofErr w:type="spellStart"/>
      <w:r>
        <w:t>isn</w:t>
      </w:r>
      <w:proofErr w:type="spellEnd"/>
      <w:r>
        <w:t>;'t it always the case?</w:t>
      </w:r>
      <w:r>
        <w:rPr>
          <w:rStyle w:val="Rimandocommento"/>
        </w:rPr>
        <w:annotationRef/>
      </w:r>
    </w:p>
  </w:comment>
  <w:comment w:id="11" w:author="Guest User" w:date="2022-05-25T11:59:00Z" w:initials="GU">
    <w:p w14:paraId="0F749D43" w14:textId="77777777" w:rsidR="007073AA" w:rsidRDefault="007073AA" w:rsidP="007073AA">
      <w:pPr>
        <w:pStyle w:val="Testocommento"/>
      </w:pPr>
      <w:proofErr w:type="spellStart"/>
      <w:r>
        <w:t>isn;t</w:t>
      </w:r>
      <w:proofErr w:type="spellEnd"/>
      <w:r>
        <w:t xml:space="preserve"> it the same for </w:t>
      </w:r>
      <w:proofErr w:type="spellStart"/>
      <w:r>
        <w:t>ecpoint</w:t>
      </w:r>
      <w:proofErr w:type="spellEnd"/>
      <w:r>
        <w:t>? Sorry I am confused. I am not sure what I should look at and what is the main message.</w:t>
      </w:r>
      <w:r>
        <w:rPr>
          <w:rStyle w:val="Rimandocommento"/>
        </w:rPr>
        <w:annotationRef/>
      </w:r>
    </w:p>
  </w:comment>
  <w:comment w:id="12" w:author="Guest User" w:date="2022-05-25T12:01:00Z" w:initials="GU">
    <w:p w14:paraId="07C1C2A0" w14:textId="77777777" w:rsidR="007073AA" w:rsidRDefault="007073AA" w:rsidP="007073AA">
      <w:pPr>
        <w:pStyle w:val="Testocommento"/>
      </w:pPr>
      <w:proofErr w:type="spellStart"/>
      <w:r>
        <w:t>christel</w:t>
      </w:r>
      <w:proofErr w:type="spellEnd"/>
      <w:r>
        <w:t xml:space="preserve">: this sentence is confusing - following the previous I thought </w:t>
      </w:r>
      <w:proofErr w:type="spellStart"/>
      <w:r>
        <w:t>iwas</w:t>
      </w:r>
      <w:proofErr w:type="spellEnd"/>
      <w:r>
        <w:t xml:space="preserve"> was still looking at </w:t>
      </w:r>
      <w:proofErr w:type="spellStart"/>
      <w:r>
        <w:t>vre</w:t>
      </w:r>
      <w:proofErr w:type="spellEnd"/>
      <w:r>
        <w:t xml:space="preserve"> 85 and fig a; but now you say fig b </w:t>
      </w:r>
      <w:r>
        <w:rPr>
          <w:rStyle w:val="Rimandocommento"/>
        </w:rPr>
        <w:annotationRef/>
      </w:r>
    </w:p>
  </w:comment>
  <w:comment w:id="13" w:author="Guest User" w:date="2022-05-16T10:29:00Z" w:initials="GU">
    <w:p w14:paraId="2F5418D7" w14:textId="77777777" w:rsidR="007073AA" w:rsidRDefault="007073AA" w:rsidP="007073AA">
      <w:pPr>
        <w:pStyle w:val="Testocommento"/>
      </w:pPr>
      <w:proofErr w:type="spellStart"/>
      <w:r>
        <w:t>christel</w:t>
      </w:r>
      <w:proofErr w:type="spellEnd"/>
      <w:r>
        <w:t>: ok this sentence is the key. Maybe you should simplify the text above so that the main message is this one. Otherwise it is diluted in a long description of the graphic and the reader get lost. I am still not 100% sure why ecPoint is better though...</w:t>
      </w:r>
      <w:r>
        <w:rPr>
          <w:rStyle w:val="Rimandocommento"/>
        </w:rPr>
        <w:annotationRef/>
      </w:r>
    </w:p>
  </w:comment>
  <w:comment w:id="14" w:author="Guest User" w:date="2022-05-16T10:36:00Z" w:initials="GU">
    <w:p w14:paraId="4849CA18" w14:textId="77777777" w:rsidR="007073AA" w:rsidRDefault="007073AA" w:rsidP="007073AA">
      <w:pPr>
        <w:pStyle w:val="Testocommento"/>
      </w:pPr>
      <w:proofErr w:type="spellStart"/>
      <w:r>
        <w:t>christel</w:t>
      </w:r>
      <w:proofErr w:type="spellEnd"/>
      <w:r>
        <w:t xml:space="preserve">: maybe what is confusing is the use of both VRE 85 and VRE 99. I only picked up today again after a long break so I might have forgotten. But it makes this very complicated, and as a reader I </w:t>
      </w:r>
      <w:proofErr w:type="spellStart"/>
      <w:r>
        <w:t>don;t</w:t>
      </w:r>
      <w:proofErr w:type="spellEnd"/>
      <w:r>
        <w:t xml:space="preserve"> </w:t>
      </w:r>
      <w:proofErr w:type="gramStart"/>
      <w:r>
        <w:t>know</w:t>
      </w:r>
      <w:proofErr w:type="gramEnd"/>
      <w:r>
        <w:t xml:space="preserve"> what I should be doing if I have to use ecPoint. Sorry . it is probably because I am starting again ...</w:t>
      </w:r>
      <w:r>
        <w:rPr>
          <w:rStyle w:val="Rimandocommento"/>
        </w:rPr>
        <w:annotationRef/>
      </w:r>
    </w:p>
    <w:p w14:paraId="51DADA54" w14:textId="77777777" w:rsidR="007073AA" w:rsidRDefault="007073AA" w:rsidP="007073AA">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610002" w15:done="0"/>
  <w15:commentEx w15:paraId="6F4A1FAB" w15:paraIdParent="47610002" w15:done="0"/>
  <w15:commentEx w15:paraId="09ADE640" w15:done="0"/>
  <w15:commentEx w15:paraId="6F66D3EE" w15:done="0"/>
  <w15:commentEx w15:paraId="56DD3185" w15:paraIdParent="6F66D3EE" w15:done="0"/>
  <w15:commentEx w15:paraId="7EC1900F" w15:paraIdParent="6F66D3EE" w15:done="0"/>
  <w15:commentEx w15:paraId="62C079FF" w15:done="0"/>
  <w15:commentEx w15:paraId="0D1510DE" w15:done="0"/>
  <w15:commentEx w15:paraId="7C34D755" w15:done="0"/>
  <w15:commentEx w15:paraId="1235CB0C" w15:done="0"/>
  <w15:commentEx w15:paraId="34BB45E1" w15:done="0"/>
  <w15:commentEx w15:paraId="0F749D43" w15:done="0"/>
  <w15:commentEx w15:paraId="07C1C2A0" w15:done="0"/>
  <w15:commentEx w15:paraId="2F5418D7" w15:done="0"/>
  <w15:commentEx w15:paraId="51DADA54" w15:paraIdParent="2F541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961963" w16cex:dateUtc="2022-05-16T09:45:00Z"/>
  <w16cex:commentExtensible w16cex:durableId="605B3C0C" w16cex:dateUtc="2022-05-16T09:46:00Z"/>
  <w16cex:commentExtensible w16cex:durableId="6CD7730F" w16cex:dateUtc="2022-05-25T10:47:00Z"/>
  <w16cex:commentExtensible w16cex:durableId="211DBF20" w16cex:dateUtc="2022-05-16T09:20:00Z"/>
  <w16cex:commentExtensible w16cex:durableId="63A5982A" w16cex:dateUtc="2022-05-16T09:21:00Z"/>
  <w16cex:commentExtensible w16cex:durableId="46D411DD" w16cex:dateUtc="2022-05-25T10:49:00Z"/>
  <w16cex:commentExtensible w16cex:durableId="78776DC7" w16cex:dateUtc="2022-05-25T10:51:00Z"/>
  <w16cex:commentExtensible w16cex:durableId="71688FCC" w16cex:dateUtc="2022-05-16T09:23:00Z"/>
  <w16cex:commentExtensible w16cex:durableId="0505900B" w16cex:dateUtc="2022-05-16T09:25:00Z"/>
  <w16cex:commentExtensible w16cex:durableId="19F24B16" w16cex:dateUtc="2022-05-25T10:55:00Z"/>
  <w16cex:commentExtensible w16cex:durableId="20A99A5E" w16cex:dateUtc="2022-05-16T09:26:00Z"/>
  <w16cex:commentExtensible w16cex:durableId="16E6F846" w16cex:dateUtc="2022-05-25T10:59:00Z"/>
  <w16cex:commentExtensible w16cex:durableId="1EFDEDF8" w16cex:dateUtc="2022-05-25T11:01:00Z"/>
  <w16cex:commentExtensible w16cex:durableId="478EB338" w16cex:dateUtc="2022-05-16T09:29:00Z"/>
  <w16cex:commentExtensible w16cex:durableId="5E7E6B00" w16cex:dateUtc="2022-05-16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610002" w16cid:durableId="12961963"/>
  <w16cid:commentId w16cid:paraId="6F4A1FAB" w16cid:durableId="605B3C0C"/>
  <w16cid:commentId w16cid:paraId="09ADE640" w16cid:durableId="6CD7730F"/>
  <w16cid:commentId w16cid:paraId="6F66D3EE" w16cid:durableId="211DBF20"/>
  <w16cid:commentId w16cid:paraId="56DD3185" w16cid:durableId="63A5982A"/>
  <w16cid:commentId w16cid:paraId="7EC1900F" w16cid:durableId="46D411DD"/>
  <w16cid:commentId w16cid:paraId="62C079FF" w16cid:durableId="78776DC7"/>
  <w16cid:commentId w16cid:paraId="0D1510DE" w16cid:durableId="71688FCC"/>
  <w16cid:commentId w16cid:paraId="7C34D755" w16cid:durableId="0505900B"/>
  <w16cid:commentId w16cid:paraId="1235CB0C" w16cid:durableId="19F24B16"/>
  <w16cid:commentId w16cid:paraId="34BB45E1" w16cid:durableId="20A99A5E"/>
  <w16cid:commentId w16cid:paraId="0F749D43" w16cid:durableId="16E6F846"/>
  <w16cid:commentId w16cid:paraId="07C1C2A0" w16cid:durableId="1EFDEDF8"/>
  <w16cid:commentId w16cid:paraId="2F5418D7" w16cid:durableId="478EB338"/>
  <w16cid:commentId w16cid:paraId="51DADA54" w16cid:durableId="5E7E6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AA"/>
    <w:rsid w:val="0004137C"/>
    <w:rsid w:val="006E12BA"/>
    <w:rsid w:val="00702CDE"/>
    <w:rsid w:val="007073AA"/>
    <w:rsid w:val="0085086A"/>
    <w:rsid w:val="0089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D405"/>
  <w15:chartTrackingRefBased/>
  <w15:docId w15:val="{20DBAB6D-9B3F-4C30-BA2A-A8413EA0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73AA"/>
    <w:pPr>
      <w:spacing w:before="60" w:after="0" w:line="360" w:lineRule="auto"/>
      <w:ind w:firstLine="284"/>
      <w:jc w:val="both"/>
    </w:pPr>
    <w:rPr>
      <w:rFonts w:ascii="Calibri" w:eastAsia="Calibri" w:hAnsi="Calibri" w:cs="Calibri"/>
      <w:sz w:val="20"/>
      <w:szCs w:val="20"/>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7073AA"/>
  </w:style>
  <w:style w:type="paragraph" w:styleId="Testocommento">
    <w:name w:val="annotation text"/>
    <w:basedOn w:val="Normale"/>
    <w:link w:val="TestocommentoCarattere"/>
    <w:uiPriority w:val="99"/>
    <w:unhideWhenUsed/>
    <w:rsid w:val="007073AA"/>
    <w:pPr>
      <w:spacing w:line="240" w:lineRule="auto"/>
    </w:pPr>
  </w:style>
  <w:style w:type="character" w:customStyle="1" w:styleId="TestocommentoCarattere">
    <w:name w:val="Testo commento Carattere"/>
    <w:basedOn w:val="Carpredefinitoparagrafo"/>
    <w:link w:val="Testocommento"/>
    <w:uiPriority w:val="99"/>
    <w:rsid w:val="007073AA"/>
    <w:rPr>
      <w:rFonts w:ascii="Calibri" w:eastAsia="Calibri" w:hAnsi="Calibri" w:cs="Calibri"/>
      <w:sz w:val="20"/>
      <w:szCs w:val="20"/>
      <w:lang w:eastAsia="en-GB"/>
    </w:rPr>
  </w:style>
  <w:style w:type="character" w:styleId="Rimandocommento">
    <w:name w:val="annotation reference"/>
    <w:basedOn w:val="Carpredefinitoparagrafo"/>
    <w:uiPriority w:val="99"/>
    <w:semiHidden/>
    <w:unhideWhenUsed/>
    <w:rsid w:val="007073AA"/>
    <w:rPr>
      <w:sz w:val="16"/>
      <w:szCs w:val="16"/>
    </w:rPr>
  </w:style>
  <w:style w:type="paragraph" w:customStyle="1" w:styleId="FiguresCaption">
    <w:name w:val="Figures Caption"/>
    <w:basedOn w:val="Normale"/>
    <w:qFormat/>
    <w:rsid w:val="00702CDE"/>
    <w:pPr>
      <w:pBdr>
        <w:top w:val="nil"/>
        <w:left w:val="nil"/>
        <w:bottom w:val="nil"/>
        <w:right w:val="nil"/>
        <w:between w:val="nil"/>
      </w:pBdr>
      <w:spacing w:before="120" w:after="120" w:line="240" w:lineRule="auto"/>
    </w:pPr>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tif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1127</Words>
  <Characters>6428</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1</cp:revision>
  <dcterms:created xsi:type="dcterms:W3CDTF">2022-06-10T20:46:00Z</dcterms:created>
  <dcterms:modified xsi:type="dcterms:W3CDTF">2022-06-10T21:28:00Z</dcterms:modified>
</cp:coreProperties>
</file>