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8A64" w14:textId="77777777" w:rsidR="00323071" w:rsidRPr="00F36F97" w:rsidRDefault="00323071" w:rsidP="00323071">
      <w:pPr>
        <w:ind w:firstLine="0"/>
        <w:rPr>
          <w:b/>
          <w:bCs/>
        </w:rPr>
      </w:pPr>
      <w:r>
        <w:rPr>
          <w:b/>
          <w:bCs/>
        </w:rPr>
        <w:t>The definition of flash floods in this paper</w:t>
      </w:r>
    </w:p>
    <w:p w14:paraId="121CB5A9" w14:textId="77777777" w:rsidR="005F3605" w:rsidRDefault="005F3605" w:rsidP="005F3605"/>
    <w:p w14:paraId="7EE52F71" w14:textId="77777777" w:rsidR="00A10E29" w:rsidRPr="00A10E29" w:rsidRDefault="00A10E29" w:rsidP="00A10E29">
      <w:pPr>
        <w:spacing w:before="100" w:beforeAutospacing="1" w:after="100" w:afterAutospacing="1"/>
        <w:ind w:left="480" w:hanging="480"/>
        <w:jc w:val="left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proofErr w:type="spellStart"/>
      <w:r w:rsidRPr="00A10E29">
        <w:rPr>
          <w:rFonts w:ascii="Times New Roman" w:eastAsia="Times New Roman" w:hAnsi="Times New Roman" w:cs="Times New Roman"/>
          <w:sz w:val="24"/>
          <w:szCs w:val="24"/>
          <w:lang w:eastAsia="en-GB"/>
        </w:rPr>
        <w:t>Choez</w:t>
      </w:r>
      <w:proofErr w:type="spellEnd"/>
      <w:r w:rsidRPr="00A10E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B. D. B., S. J. C. Ríos, and D. J. M. Del Valle, 2019: Analysis of the vulnerability to flooding in the Santa Ana de Vuelta </w:t>
      </w:r>
      <w:proofErr w:type="spellStart"/>
      <w:r w:rsidRPr="00A10E29">
        <w:rPr>
          <w:rFonts w:ascii="Times New Roman" w:eastAsia="Times New Roman" w:hAnsi="Times New Roman" w:cs="Times New Roman"/>
          <w:sz w:val="24"/>
          <w:szCs w:val="24"/>
          <w:lang w:eastAsia="en-GB"/>
        </w:rPr>
        <w:t>larga</w:t>
      </w:r>
      <w:proofErr w:type="spellEnd"/>
      <w:r w:rsidRPr="00A10E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Parish, province of </w:t>
      </w:r>
      <w:proofErr w:type="spellStart"/>
      <w:r w:rsidRPr="00A10E29">
        <w:rPr>
          <w:rFonts w:ascii="Times New Roman" w:eastAsia="Times New Roman" w:hAnsi="Times New Roman" w:cs="Times New Roman"/>
          <w:sz w:val="24"/>
          <w:szCs w:val="24"/>
          <w:lang w:eastAsia="en-GB"/>
        </w:rPr>
        <w:t>Manabi</w:t>
      </w:r>
      <w:proofErr w:type="spellEnd"/>
      <w:r w:rsidRPr="00A10E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Ecuador. </w:t>
      </w:r>
      <w:r w:rsidRPr="00A10E29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n-GB"/>
        </w:rPr>
        <w:t>Investig. Geogr.</w:t>
      </w:r>
      <w:r w:rsidRPr="00A10E29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, https://doi.org/10.14350/rig.59767.</w:t>
      </w:r>
    </w:p>
    <w:p w14:paraId="6D10E2F9" w14:textId="77777777" w:rsidR="005F3605" w:rsidRPr="004E33D4" w:rsidRDefault="005F3605" w:rsidP="00A10D22">
      <w:pPr>
        <w:ind w:firstLine="0"/>
        <w:rPr>
          <w:rFonts w:cstheme="minorHAnsi"/>
          <w:lang w:val="es-ES"/>
        </w:rPr>
      </w:pPr>
    </w:p>
    <w:p w14:paraId="54A9DAC4" w14:textId="77777777" w:rsidR="004E33D4" w:rsidRPr="004E33D4" w:rsidRDefault="004E33D4" w:rsidP="004E33D4">
      <w:pPr>
        <w:spacing w:before="100" w:beforeAutospacing="1" w:after="100" w:afterAutospacing="1"/>
        <w:ind w:left="480" w:hanging="48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33D4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Burgoz Choez, B. D., S. J. Cartaya Ríos, and D. J. Mero Del Valle, 2019: Análisis de la vulnerabilidad a inundaciones de la parroquia Santa Ana de Vuelta Larga, provincia del Manabí, Ecuador. </w:t>
      </w:r>
      <w:proofErr w:type="spellStart"/>
      <w:r w:rsidRPr="004E33D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Investig</w:t>
      </w:r>
      <w:proofErr w:type="spellEnd"/>
      <w:r w:rsidRPr="004E33D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. </w:t>
      </w:r>
      <w:proofErr w:type="spellStart"/>
      <w:r w:rsidRPr="004E33D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Geogr</w:t>
      </w:r>
      <w:proofErr w:type="spellEnd"/>
      <w:r w:rsidRPr="004E33D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.</w:t>
      </w:r>
      <w:r w:rsidRPr="004E33D4">
        <w:rPr>
          <w:rFonts w:ascii="Times New Roman" w:eastAsia="Times New Roman" w:hAnsi="Times New Roman" w:cs="Times New Roman"/>
          <w:sz w:val="24"/>
          <w:szCs w:val="24"/>
          <w:lang w:eastAsia="en-GB"/>
        </w:rPr>
        <w:t>, https://doi.org/10.14350/rig.59767.</w:t>
      </w:r>
    </w:p>
    <w:p w14:paraId="2A8E30F9" w14:textId="77777777" w:rsidR="005F3605" w:rsidRDefault="005F3605" w:rsidP="005F3605">
      <w:pPr>
        <w:ind w:firstLine="0"/>
        <w:rPr>
          <w:rFonts w:cstheme="minorHAnsi"/>
        </w:rPr>
      </w:pPr>
    </w:p>
    <w:p w14:paraId="2BF980BF" w14:textId="77777777" w:rsidR="005F3605" w:rsidRDefault="005F3605" w:rsidP="005F3605">
      <w:pPr>
        <w:ind w:firstLine="0"/>
        <w:rPr>
          <w:rFonts w:cstheme="minorHAnsi"/>
        </w:rPr>
      </w:pPr>
    </w:p>
    <w:p w14:paraId="1DCCF362" w14:textId="77777777" w:rsidR="005F3605" w:rsidRDefault="005F3605" w:rsidP="005F3605">
      <w:pPr>
        <w:ind w:firstLine="0"/>
        <w:rPr>
          <w:rFonts w:cstheme="minorHAnsi"/>
        </w:rPr>
      </w:pPr>
    </w:p>
    <w:p w14:paraId="5AA1C1D4" w14:textId="77777777" w:rsidR="005F3605" w:rsidRDefault="005F3605" w:rsidP="005F3605">
      <w:pPr>
        <w:rPr>
          <w:rFonts w:cstheme="minorHAnsi"/>
        </w:rPr>
      </w:pPr>
      <w:r>
        <w:t xml:space="preserve">Aguirre, J., De La Torre Ugarte, D., Bazo, J., </w:t>
      </w:r>
      <w:proofErr w:type="spellStart"/>
      <w:r>
        <w:t>Quequezana</w:t>
      </w:r>
      <w:proofErr w:type="spellEnd"/>
      <w:r>
        <w:t xml:space="preserve">, P. and </w:t>
      </w:r>
      <w:proofErr w:type="spellStart"/>
      <w:r>
        <w:t>Collado</w:t>
      </w:r>
      <w:proofErr w:type="spellEnd"/>
      <w:r>
        <w:t>, M.: Evaluation of early action mechanisms in Peru regarding preparedness for El Niño, Int. J. Disaster Risk Sci., 10(4), 493– 510, doi:10.1007/s13753-019-00245-x, 2019.</w:t>
      </w:r>
    </w:p>
    <w:p w14:paraId="0A95C9F2" w14:textId="77777777" w:rsidR="005F3605" w:rsidRDefault="005F3605" w:rsidP="005F3605">
      <w:pPr>
        <w:rPr>
          <w:rFonts w:cstheme="minorHAnsi"/>
        </w:rPr>
      </w:pPr>
      <w:proofErr w:type="spellStart"/>
      <w:r>
        <w:t>Aybar</w:t>
      </w:r>
      <w:proofErr w:type="spellEnd"/>
      <w:r>
        <w:t xml:space="preserve">, C., Fernández, C., Huerta, A., </w:t>
      </w:r>
      <w:proofErr w:type="spellStart"/>
      <w:r>
        <w:t>Lavado</w:t>
      </w:r>
      <w:proofErr w:type="spellEnd"/>
      <w:r>
        <w:t xml:space="preserve">, W., Vega, F. and Felipe-Obando, O.: Construction of a high-resolution gridded rainfall dataset for Peru from 1981 to the present day, </w:t>
      </w:r>
      <w:proofErr w:type="spellStart"/>
      <w:r>
        <w:t>Hydrol</w:t>
      </w:r>
      <w:proofErr w:type="spellEnd"/>
      <w:r>
        <w:t>. Sci. J., 65(5), 770–785, doi:10.1080/02626667.2019.1649411, 2020.</w:t>
      </w:r>
    </w:p>
    <w:p w14:paraId="2F70F9EB" w14:textId="77777777" w:rsidR="005F3605" w:rsidRDefault="005F3605" w:rsidP="005F3605">
      <w:pPr>
        <w:rPr>
          <w:rFonts w:cstheme="minorHAnsi"/>
        </w:rPr>
      </w:pPr>
      <w:r>
        <w:t xml:space="preserve">Bayer, A. M., </w:t>
      </w:r>
      <w:proofErr w:type="spellStart"/>
      <w:r>
        <w:t>Danysh</w:t>
      </w:r>
      <w:proofErr w:type="spellEnd"/>
      <w:r>
        <w:t xml:space="preserve">, H. E., </w:t>
      </w:r>
      <w:proofErr w:type="spellStart"/>
      <w:r>
        <w:t>Garvich</w:t>
      </w:r>
      <w:proofErr w:type="spellEnd"/>
      <w:r>
        <w:t xml:space="preserve">, M., </w:t>
      </w:r>
      <w:proofErr w:type="spellStart"/>
      <w:r>
        <w:t>Gonzálvez</w:t>
      </w:r>
      <w:proofErr w:type="spellEnd"/>
      <w:r>
        <w:t>, G., Checkley, W., Álvarez, M. and Gilman, R. H.: An unforgettable event: a qualitative study of the 1997 – 98 El Niño in northern Peru, Disasters, 38(2), 351–375, doi:10.1111/disa.12046, 2014</w:t>
      </w:r>
    </w:p>
    <w:p w14:paraId="1C307E45" w14:textId="77777777" w:rsidR="005F3605" w:rsidRDefault="005F3605" w:rsidP="005F3605">
      <w:pPr>
        <w:rPr>
          <w:rFonts w:cstheme="minorHAnsi"/>
        </w:rPr>
      </w:pPr>
      <w:r>
        <w:t xml:space="preserve">Bazo, J., Singh, R., </w:t>
      </w:r>
      <w:proofErr w:type="spellStart"/>
      <w:r>
        <w:t>Destrooper</w:t>
      </w:r>
      <w:proofErr w:type="spellEnd"/>
      <w:r>
        <w:t>, M. and Coughlan de Perez, E.: Pilot experiences in using seamless forecasts for early action: The “ready-set-go!” approach in the Red Cross, in Sub-seasonal to Seasonal Prediction, pp. 387–398, Elsevier., 2019.</w:t>
      </w:r>
    </w:p>
    <w:p w14:paraId="0B68E500" w14:textId="77777777" w:rsidR="005F3605" w:rsidRDefault="005F3605" w:rsidP="005F3605">
      <w:pPr>
        <w:rPr>
          <w:rFonts w:cstheme="minorHAnsi"/>
        </w:rPr>
      </w:pPr>
      <w:r>
        <w:t>BBC News: Peru floods: Four killed as Piura bursts its banks, BBC News, 27th March [online] Available from: https://www.bbc.com/news/world-latin-america-39418314 (Accessed 21 May 2020), 2017.</w:t>
      </w:r>
    </w:p>
    <w:p w14:paraId="5225F2DC" w14:textId="77777777" w:rsidR="005F3605" w:rsidRDefault="005F3605" w:rsidP="005F3605">
      <w:proofErr w:type="spellStart"/>
      <w:r>
        <w:t>Bischiniotis</w:t>
      </w:r>
      <w:proofErr w:type="spellEnd"/>
      <w:r>
        <w:t xml:space="preserve">, K., van den </w:t>
      </w:r>
      <w:proofErr w:type="spellStart"/>
      <w:r>
        <w:t>Hurk</w:t>
      </w:r>
      <w:proofErr w:type="spellEnd"/>
      <w:r>
        <w:t xml:space="preserve">, B., Zsoter, E., Coughlan De Perez, E., </w:t>
      </w:r>
      <w:proofErr w:type="spellStart"/>
      <w:r>
        <w:t>Grillakis</w:t>
      </w:r>
      <w:proofErr w:type="spellEnd"/>
      <w:r>
        <w:t xml:space="preserve">, M. and </w:t>
      </w:r>
      <w:proofErr w:type="spellStart"/>
      <w:r>
        <w:t>Aerts</w:t>
      </w:r>
      <w:proofErr w:type="spellEnd"/>
      <w:r>
        <w:t xml:space="preserve">, J. C. J. H.: Evaluation of a global ensemble flood prediction system in Peru, </w:t>
      </w:r>
      <w:proofErr w:type="spellStart"/>
      <w:r>
        <w:t>Hydrol</w:t>
      </w:r>
      <w:proofErr w:type="spellEnd"/>
      <w:r>
        <w:t>. Sci. J., 64(10), 1171– 1189, doi:10.1080/02626667.2019.1617868, 2019.</w:t>
      </w:r>
    </w:p>
    <w:p w14:paraId="14E2D52A" w14:textId="77777777" w:rsidR="005F3605" w:rsidRDefault="005F3605" w:rsidP="005F3605">
      <w:r>
        <w:t xml:space="preserve">Bohn, T., </w:t>
      </w:r>
      <w:proofErr w:type="spellStart"/>
      <w:r>
        <w:t>Sonessa</w:t>
      </w:r>
      <w:proofErr w:type="spellEnd"/>
      <w:r>
        <w:t xml:space="preserve">, M. and </w:t>
      </w:r>
      <w:proofErr w:type="spellStart"/>
      <w:r>
        <w:t>Lettenmaier</w:t>
      </w:r>
      <w:proofErr w:type="spellEnd"/>
      <w:r>
        <w:t xml:space="preserve">, D.: Seasonal hydrologic forecasting: Do multimodel ensemble averages always yield improvements in forecast skill?, J. </w:t>
      </w:r>
      <w:proofErr w:type="spellStart"/>
      <w:r>
        <w:t>Hydrometeorol</w:t>
      </w:r>
      <w:proofErr w:type="spellEnd"/>
      <w:r>
        <w:t>., 11, 1358–1372, doi:10.1175/2010JHM1267.1, 2010.</w:t>
      </w:r>
    </w:p>
    <w:p w14:paraId="5D186DAB" w14:textId="77777777" w:rsidR="005F3605" w:rsidRDefault="005F3605" w:rsidP="005F3605">
      <w:r>
        <w:t>Braman, L. M., Aalst, M. K. Van, Mason, S. J., Suarez, P., Ait-</w:t>
      </w:r>
      <w:proofErr w:type="spellStart"/>
      <w:r>
        <w:t>Chellouche</w:t>
      </w:r>
      <w:proofErr w:type="spellEnd"/>
      <w:r>
        <w:t>, Y. and Tall, A.: Climate forecasts in disaster management: Red Cross flood operations in West Africa, 2008, Disasters, 37(1), 144–164, doi:10.1111/j.1467-7717.2012.01297, 2013.</w:t>
      </w:r>
    </w:p>
    <w:p w14:paraId="0D3428EB" w14:textId="77777777" w:rsidR="005F3605" w:rsidRDefault="005F3605" w:rsidP="005F3605">
      <w:r>
        <w:t xml:space="preserve">Cabot Venton, C., Fitzgibbon, C., </w:t>
      </w:r>
      <w:proofErr w:type="spellStart"/>
      <w:r>
        <w:t>Shitarek</w:t>
      </w:r>
      <w:proofErr w:type="spellEnd"/>
      <w:r>
        <w:t>, T., Coulter, L. and Dooley, O.: The economics of early response and disaster resilience: Lessons from Kenya and Ethiopia, London., 2012.</w:t>
      </w:r>
    </w:p>
    <w:p w14:paraId="25127326" w14:textId="77777777" w:rsidR="005F3605" w:rsidRDefault="005F3605" w:rsidP="005F3605">
      <w:r>
        <w:t xml:space="preserve">Cohen, J., Coumou, D., Hwang, J., Mackey, L., Orenstein, P., </w:t>
      </w:r>
      <w:proofErr w:type="spellStart"/>
      <w:r>
        <w:t>Totz</w:t>
      </w:r>
      <w:proofErr w:type="spellEnd"/>
      <w:r>
        <w:t xml:space="preserve">, S. and </w:t>
      </w:r>
      <w:proofErr w:type="spellStart"/>
      <w:r>
        <w:t>Tziperman</w:t>
      </w:r>
      <w:proofErr w:type="spellEnd"/>
      <w:r>
        <w:t xml:space="preserve">, E.: S2S reboot: An argument for greater inclusion of machine learning in </w:t>
      </w:r>
      <w:proofErr w:type="spellStart"/>
      <w:r>
        <w:t>subseasonal</w:t>
      </w:r>
      <w:proofErr w:type="spellEnd"/>
      <w:r>
        <w:t xml:space="preserve"> to seasonal forecasts, Wiley </w:t>
      </w:r>
      <w:proofErr w:type="spellStart"/>
      <w:r>
        <w:t>Interdiscip</w:t>
      </w:r>
      <w:proofErr w:type="spellEnd"/>
      <w:r>
        <w:t xml:space="preserve">. Rev. </w:t>
      </w:r>
      <w:proofErr w:type="spellStart"/>
      <w:r>
        <w:t>Clim</w:t>
      </w:r>
      <w:proofErr w:type="spellEnd"/>
      <w:r>
        <w:t>. Chang., 10(2), 1–15, doi:10.1002/wcc.567, 2019.</w:t>
      </w:r>
    </w:p>
    <w:p w14:paraId="4FD83FFC" w14:textId="77777777" w:rsidR="005F3605" w:rsidRDefault="005F3605" w:rsidP="005F3605">
      <w:r>
        <w:t xml:space="preserve">Emerton, R., Zsoter, E., </w:t>
      </w:r>
      <w:proofErr w:type="spellStart"/>
      <w:r>
        <w:t>Arnal</w:t>
      </w:r>
      <w:proofErr w:type="spellEnd"/>
      <w:r>
        <w:t xml:space="preserve">, L., Cloke, H. L., </w:t>
      </w:r>
      <w:proofErr w:type="spellStart"/>
      <w:r>
        <w:t>Muraro</w:t>
      </w:r>
      <w:proofErr w:type="spellEnd"/>
      <w:r>
        <w:t xml:space="preserve">, D., Prudhomme, C., Stephens, E. M., </w:t>
      </w:r>
      <w:proofErr w:type="spellStart"/>
      <w:r>
        <w:t>Salamon</w:t>
      </w:r>
      <w:proofErr w:type="spellEnd"/>
      <w:r>
        <w:t xml:space="preserve">, P. and Pappenberger, F.: Developing a global operational seasonal hydro-meteorological forecasting system: GloFAS-Seasonal v1.0, </w:t>
      </w:r>
      <w:proofErr w:type="spellStart"/>
      <w:r>
        <w:t>Geosci</w:t>
      </w:r>
      <w:proofErr w:type="spellEnd"/>
      <w:r>
        <w:t>. Model Dev., 11, 3327–3346, doi:10.5194/gmd-11-3327-2018, 2018.</w:t>
      </w:r>
    </w:p>
    <w:p w14:paraId="361B95D1" w14:textId="77777777" w:rsidR="005F3605" w:rsidRDefault="005F3605" w:rsidP="005F3605">
      <w:r>
        <w:t xml:space="preserve">Ernst, S., Ladue, D. and Gerard, A.: Understanding emergency manager forecast use in severe weather events, J. </w:t>
      </w:r>
      <w:proofErr w:type="spellStart"/>
      <w:r>
        <w:t>Oper</w:t>
      </w:r>
      <w:proofErr w:type="spellEnd"/>
      <w:r>
        <w:t xml:space="preserve">. </w:t>
      </w:r>
      <w:proofErr w:type="spellStart"/>
      <w:r>
        <w:t>Meteorol</w:t>
      </w:r>
      <w:proofErr w:type="spellEnd"/>
      <w:r>
        <w:t>., 6(9), 95–105, doi:10.15191/nwajom.2018.0609, 2018.</w:t>
      </w:r>
    </w:p>
    <w:p w14:paraId="5B4F42A6" w14:textId="77777777" w:rsidR="005F3605" w:rsidRDefault="005F3605" w:rsidP="005F3605">
      <w:proofErr w:type="spellStart"/>
      <w:r>
        <w:lastRenderedPageBreak/>
        <w:t>Fundel</w:t>
      </w:r>
      <w:proofErr w:type="spellEnd"/>
      <w:r>
        <w:t xml:space="preserve">, V. J., </w:t>
      </w:r>
      <w:proofErr w:type="spellStart"/>
      <w:r>
        <w:t>Fleischhut</w:t>
      </w:r>
      <w:proofErr w:type="spellEnd"/>
      <w:r>
        <w:t xml:space="preserve">, N., Herzog, S. M. and </w:t>
      </w:r>
      <w:proofErr w:type="spellStart"/>
      <w:r>
        <w:t>Göber</w:t>
      </w:r>
      <w:proofErr w:type="spellEnd"/>
      <w:r>
        <w:t xml:space="preserve">, M.: Promoting the use of probabilistic weather forecasts through a dialogue between scientists, developers and end-users, Q. J. R. </w:t>
      </w:r>
      <w:proofErr w:type="spellStart"/>
      <w:r>
        <w:t>Meteorol</w:t>
      </w:r>
      <w:proofErr w:type="spellEnd"/>
      <w:r>
        <w:t>. Soc., 210–231, doi:10.1002/qj.3482, 2019</w:t>
      </w:r>
    </w:p>
    <w:p w14:paraId="0ABCBE56" w14:textId="77777777" w:rsidR="005F3605" w:rsidRDefault="005F3605" w:rsidP="005F3605">
      <w:pPr>
        <w:rPr>
          <w:rFonts w:cstheme="minorHAnsi"/>
        </w:rPr>
      </w:pPr>
      <w:r>
        <w:t xml:space="preserve">Gall, M., Borden, K. A., </w:t>
      </w:r>
      <w:proofErr w:type="spellStart"/>
      <w:r>
        <w:t>Emrich</w:t>
      </w:r>
      <w:proofErr w:type="spellEnd"/>
      <w:r>
        <w:t>, C. T. and Cutter, S. L.: The unsustainable trend of natural hazard losses in the United States, Sustainability, 3, 2157–2181, doi:10.3390/su3112157, 2011.</w:t>
      </w:r>
    </w:p>
    <w:p w14:paraId="05DEAF87" w14:textId="77777777" w:rsidR="005F3605" w:rsidRDefault="005F3605" w:rsidP="005F3605">
      <w:proofErr w:type="spellStart"/>
      <w:r>
        <w:t>Garreaud</w:t>
      </w:r>
      <w:proofErr w:type="spellEnd"/>
      <w:r>
        <w:t xml:space="preserve">, R. D., </w:t>
      </w:r>
      <w:proofErr w:type="spellStart"/>
      <w:r>
        <w:t>Vuille</w:t>
      </w:r>
      <w:proofErr w:type="spellEnd"/>
      <w:r>
        <w:t xml:space="preserve">, M., </w:t>
      </w:r>
      <w:proofErr w:type="spellStart"/>
      <w:r>
        <w:t>Compagnucci</w:t>
      </w:r>
      <w:proofErr w:type="spellEnd"/>
      <w:r>
        <w:t xml:space="preserve">, R. and Marengo, J.: Present-day South American climate, </w:t>
      </w:r>
      <w:proofErr w:type="spellStart"/>
      <w:r>
        <w:t>Palaeogeogr</w:t>
      </w:r>
      <w:proofErr w:type="spellEnd"/>
      <w:r>
        <w:t xml:space="preserve">. </w:t>
      </w:r>
      <w:proofErr w:type="spellStart"/>
      <w:r>
        <w:t>Palaeoclimatol</w:t>
      </w:r>
      <w:proofErr w:type="spellEnd"/>
      <w:r>
        <w:t xml:space="preserve">. </w:t>
      </w:r>
      <w:proofErr w:type="spellStart"/>
      <w:r>
        <w:t>Palaeoecol</w:t>
      </w:r>
      <w:proofErr w:type="spellEnd"/>
      <w:r>
        <w:t>., 281, 180–195, doi:10.1016/j.palaeo.2007.10.032, 2009.</w:t>
      </w:r>
    </w:p>
    <w:p w14:paraId="4B00900E" w14:textId="77777777" w:rsidR="005F3605" w:rsidRDefault="005F3605" w:rsidP="005F3605">
      <w:r>
        <w:t>Gneiting, T. and Raftery, A. E.: Weather forecasting with ensemble methods, Science (80-. )., 310(5746), 248–249, doi:10.1126/science.1115255, 2005.</w:t>
      </w:r>
    </w:p>
    <w:p w14:paraId="6FA343E5" w14:textId="77777777" w:rsidR="005F3605" w:rsidRDefault="005F3605" w:rsidP="005F3605">
      <w:r>
        <w:t>Golnaraghi, M.: Institutional Partnerships in Multi-Hazard Early Warning Systems: A Compilation of Seven National Good Practices and Guiding Principles, Springer, New York., 2012.</w:t>
      </w:r>
    </w:p>
    <w:p w14:paraId="6570AE16" w14:textId="77777777" w:rsidR="005F3605" w:rsidRDefault="005F3605" w:rsidP="005F3605">
      <w:r>
        <w:t xml:space="preserve">Gros, C., Bailey, M., </w:t>
      </w:r>
      <w:proofErr w:type="spellStart"/>
      <w:r>
        <w:t>Schwager</w:t>
      </w:r>
      <w:proofErr w:type="spellEnd"/>
      <w:r>
        <w:t xml:space="preserve">, S., Hassan, A., </w:t>
      </w:r>
      <w:proofErr w:type="spellStart"/>
      <w:r>
        <w:t>Zingg</w:t>
      </w:r>
      <w:proofErr w:type="spellEnd"/>
      <w:r>
        <w:t xml:space="preserve">, R., M, U. M., Shahjahan, M., Islam, H., Lux, S., Jaime, C. and Coughlan de Perez, E.: Household-level effects of providing forecast-based cash in anticipation of extreme weather events: Quasi-experimental evidence from humanitarian 57 interventions in the 2017 floods in Bangladesh, Int. J. Disaster Risk </w:t>
      </w:r>
      <w:proofErr w:type="spellStart"/>
      <w:r>
        <w:t>Reduct</w:t>
      </w:r>
      <w:proofErr w:type="spellEnd"/>
      <w:r>
        <w:t>., 41, 1–11, doi:10.1016/j.ijdrr.2019.101275, 2019.</w:t>
      </w:r>
    </w:p>
    <w:p w14:paraId="2ED3729C" w14:textId="77777777" w:rsidR="005F3605" w:rsidRDefault="005F3605" w:rsidP="005F3605">
      <w:r>
        <w:t xml:space="preserve">Harriman, L.: Cyclone </w:t>
      </w:r>
      <w:proofErr w:type="spellStart"/>
      <w:r>
        <w:t>Phailin</w:t>
      </w:r>
      <w:proofErr w:type="spellEnd"/>
      <w:r>
        <w:t xml:space="preserve"> in India: Early warning and timely actions saved lives, Environ. Dev., 9, 93–100, doi:10.1016/j.envdev.2013.12.001, 2014.</w:t>
      </w:r>
    </w:p>
    <w:p w14:paraId="00E0A4BD" w14:textId="77777777" w:rsidR="005F3605" w:rsidRDefault="005F3605" w:rsidP="005F3605">
      <w:r>
        <w:t>Harris, K.: Finance for Emergency Preparedness: Links to Resilience, London. [online] Available from: http://www.preventionweb.net/files/globalplatform/entry_bg_paper~8214.pdf, 2013.</w:t>
      </w:r>
    </w:p>
    <w:p w14:paraId="451CA6E0" w14:textId="77777777" w:rsidR="005F3605" w:rsidRDefault="005F3605" w:rsidP="005F3605">
      <w:r>
        <w:t xml:space="preserve">Hartmann, H., Pagano, T., </w:t>
      </w:r>
      <w:proofErr w:type="spellStart"/>
      <w:r>
        <w:t>Sorooshian</w:t>
      </w:r>
      <w:proofErr w:type="spellEnd"/>
      <w:r>
        <w:t xml:space="preserve">, S. and Bales, R.: Confidence builders: evaluating seasonal climate forecasts from user perspectives, Bull. Am. </w:t>
      </w:r>
      <w:proofErr w:type="spellStart"/>
      <w:r>
        <w:t>Meteorol</w:t>
      </w:r>
      <w:proofErr w:type="spellEnd"/>
      <w:r>
        <w:t>. Soc., (May), 683–698, doi:10.1175/1520- 0477(2002)0832.3.CO;2, 2002.</w:t>
      </w:r>
    </w:p>
    <w:p w14:paraId="773AAC66" w14:textId="77777777" w:rsidR="005F3605" w:rsidRDefault="005F3605" w:rsidP="005F3605">
      <w:proofErr w:type="spellStart"/>
      <w:r>
        <w:t>Hirabayashi</w:t>
      </w:r>
      <w:proofErr w:type="spellEnd"/>
      <w:r>
        <w:t xml:space="preserve">, Y., Mahendran, R., Koirala, S., </w:t>
      </w:r>
      <w:proofErr w:type="spellStart"/>
      <w:r>
        <w:t>Konoshima</w:t>
      </w:r>
      <w:proofErr w:type="spellEnd"/>
      <w:r>
        <w:t xml:space="preserve">, L., Yamazaki, D., Watanabe, S., Kim, H. and </w:t>
      </w:r>
      <w:proofErr w:type="spellStart"/>
      <w:r>
        <w:t>Kanae</w:t>
      </w:r>
      <w:proofErr w:type="spellEnd"/>
      <w:r>
        <w:t xml:space="preserve">, S.: Global flood risk under climate change, Nat. </w:t>
      </w:r>
      <w:proofErr w:type="spellStart"/>
      <w:r>
        <w:t>Clim</w:t>
      </w:r>
      <w:proofErr w:type="spellEnd"/>
      <w:r>
        <w:t>. Chang., 3(9), 816–821, doi:10.1038/nclimate1911, 2013.</w:t>
      </w:r>
    </w:p>
    <w:p w14:paraId="20F4C63C" w14:textId="77777777" w:rsidR="005F3605" w:rsidRDefault="005F3605" w:rsidP="005F3605">
      <w:r>
        <w:t>Hoss, F.: Uncertainty of River Forecasts: Quantification and Implication for Decision-Making in Emergency Management, Carnegie Mellon University. [online] Available from: https://kilthub.cmu.edu/articles/thesis/Uncertainty_in_River_Forecasts_Quantification_and_Impli cations_for_Decision-_</w:t>
      </w:r>
      <w:proofErr w:type="spellStart"/>
      <w:r>
        <w:t>Making_in_Emergency_Management</w:t>
      </w:r>
      <w:proofErr w:type="spellEnd"/>
      <w:r>
        <w:t>/6724103/1, 2014.</w:t>
      </w:r>
    </w:p>
    <w:p w14:paraId="6965A4F7" w14:textId="77777777" w:rsidR="005F3605" w:rsidRDefault="005F3605" w:rsidP="005F3605">
      <w:r>
        <w:t xml:space="preserve">Hoss, F. and Fischbeck, P.: Increasing the value of uncertain weather and river forecasts for emergency managers, Bull. Am. </w:t>
      </w:r>
      <w:proofErr w:type="spellStart"/>
      <w:r>
        <w:t>Meteorol</w:t>
      </w:r>
      <w:proofErr w:type="spellEnd"/>
      <w:r>
        <w:t>. Soc., (January), 85–98, doi:10.1175/BAMS-D-13-00275.1, 2016.</w:t>
      </w:r>
    </w:p>
    <w:p w14:paraId="7B768845" w14:textId="77777777" w:rsidR="005F3605" w:rsidRDefault="005F3605" w:rsidP="005F3605">
      <w:r>
        <w:t>IFRC: Emergency Plan of Action (</w:t>
      </w:r>
      <w:proofErr w:type="spellStart"/>
      <w:r>
        <w:t>EPoA</w:t>
      </w:r>
      <w:proofErr w:type="spellEnd"/>
      <w:r>
        <w:t>) Peru: Flood., 2015.</w:t>
      </w:r>
    </w:p>
    <w:p w14:paraId="0D56B887" w14:textId="77777777" w:rsidR="005F3605" w:rsidRDefault="005F3605" w:rsidP="005F3605">
      <w:r>
        <w:t>IFRC: Peru: Floods in the lower Amazon jungle early action protocol summary., 2019.</w:t>
      </w:r>
    </w:p>
    <w:p w14:paraId="52F1D774" w14:textId="77777777" w:rsidR="005F3605" w:rsidRDefault="005F3605" w:rsidP="005F3605">
      <w:r>
        <w:t>Jonkman, S. N.: Global Perspectives on Loss of Human Life Caused by Floods, Nat. Hazards, 34(2), 151– 175, doi:10.1007%2Fs11069-004-8891-3, 2005.</w:t>
      </w:r>
    </w:p>
    <w:p w14:paraId="22E350C3" w14:textId="77777777" w:rsidR="005F3605" w:rsidRDefault="005F3605" w:rsidP="005F3605">
      <w:r>
        <w:t xml:space="preserve">Kirchhoff, C. J., </w:t>
      </w:r>
      <w:proofErr w:type="spellStart"/>
      <w:r>
        <w:t>Lemos</w:t>
      </w:r>
      <w:proofErr w:type="spellEnd"/>
      <w:r>
        <w:t>, M. C. and Engle, N. L.: What influences climate information use in water management? The role of boundary organizations and governance regimes in Brazil and the U.S., Environ. Sci. Policy, 26, 6–18, doi:10.1016/j.envsci.2012.07.001, 2013.</w:t>
      </w:r>
    </w:p>
    <w:p w14:paraId="059E1798" w14:textId="77777777" w:rsidR="005F3605" w:rsidRDefault="005F3605" w:rsidP="005F3605">
      <w:r>
        <w:t xml:space="preserve">Lagos, P., Silva, Y., </w:t>
      </w:r>
      <w:proofErr w:type="spellStart"/>
      <w:r>
        <w:t>Nickl</w:t>
      </w:r>
      <w:proofErr w:type="spellEnd"/>
      <w:r>
        <w:t xml:space="preserve">, E. and Mosquera, K.: El Niño? related precipitation variability in Perú, Adv. </w:t>
      </w:r>
      <w:proofErr w:type="spellStart"/>
      <w:r>
        <w:t>Geosci</w:t>
      </w:r>
      <w:proofErr w:type="spellEnd"/>
      <w:r>
        <w:t>., 231–237 [online] Available from: https://hal.archives-ouvertes.fr/hal-00297103, 2008.</w:t>
      </w:r>
    </w:p>
    <w:p w14:paraId="1CFBD207" w14:textId="77777777" w:rsidR="005F3605" w:rsidRDefault="005F3605" w:rsidP="005F3605">
      <w:r>
        <w:t xml:space="preserve">Lee, D., Ward, P. and Block, P.: Defining high-flow seasons using temporal streamflow patterns from a global model, </w:t>
      </w:r>
      <w:proofErr w:type="spellStart"/>
      <w:r>
        <w:t>Hydrol</w:t>
      </w:r>
      <w:proofErr w:type="spellEnd"/>
      <w:r>
        <w:t>. Earth Syst. Sci., 19(11), 4689–4705, doi:10.5194/hess-19-4689-2015, 2015.</w:t>
      </w:r>
    </w:p>
    <w:p w14:paraId="03B505AD" w14:textId="77777777" w:rsidR="005F3605" w:rsidRDefault="005F3605" w:rsidP="005F3605">
      <w:r>
        <w:t xml:space="preserve">Lopez, A., Coughlan de Perez, E., Bazo, J., Suarez, P., van den </w:t>
      </w:r>
      <w:proofErr w:type="spellStart"/>
      <w:r>
        <w:t>Hurk</w:t>
      </w:r>
      <w:proofErr w:type="spellEnd"/>
      <w:r>
        <w:t xml:space="preserve">, B. and van Aalst, M.: Bridging forecast verification and humanitarian decisions: A valuation approach for setting up </w:t>
      </w:r>
      <w:proofErr w:type="spellStart"/>
      <w:r>
        <w:t>actionoriented</w:t>
      </w:r>
      <w:proofErr w:type="spellEnd"/>
      <w:r>
        <w:t xml:space="preserve"> early warnings, Weather </w:t>
      </w:r>
      <w:proofErr w:type="spellStart"/>
      <w:r>
        <w:t>Clim</w:t>
      </w:r>
      <w:proofErr w:type="spellEnd"/>
      <w:r>
        <w:t xml:space="preserve">. </w:t>
      </w:r>
      <w:proofErr w:type="spellStart"/>
      <w:r>
        <w:t>Extrem</w:t>
      </w:r>
      <w:proofErr w:type="spellEnd"/>
      <w:r>
        <w:t xml:space="preserve">., 27, 1–8, doi:10.1016/j.wace.2018.03.006, 2017. Marengo, J. A.: Interdecadal variability and trends of rainfall across the Amazon basin, </w:t>
      </w:r>
      <w:proofErr w:type="spellStart"/>
      <w:r>
        <w:t>Theor</w:t>
      </w:r>
      <w:proofErr w:type="spellEnd"/>
      <w:r>
        <w:t xml:space="preserve">. Appl. </w:t>
      </w:r>
      <w:proofErr w:type="spellStart"/>
      <w:r>
        <w:t>Climatol</w:t>
      </w:r>
      <w:proofErr w:type="spellEnd"/>
      <w:r>
        <w:t>., 79–96, doi:10.1007/s00704-004-0045-8, 2004.</w:t>
      </w:r>
    </w:p>
    <w:p w14:paraId="52A77AFD" w14:textId="77777777" w:rsidR="005F3605" w:rsidRDefault="005F3605" w:rsidP="005F3605">
      <w:proofErr w:type="spellStart"/>
      <w:r>
        <w:t>Morss</w:t>
      </w:r>
      <w:proofErr w:type="spellEnd"/>
      <w:r>
        <w:t>, R. E. and Ralph, F. M.: Use of information by National Weather Service forecasters and emergency Managers during CALJET and PACJET-2001, Weather Forecast., 22(June), 539–555, doi:10.1175/WAF1001.1, 2007.</w:t>
      </w:r>
    </w:p>
    <w:p w14:paraId="7E261E23" w14:textId="77777777" w:rsidR="005F3605" w:rsidRDefault="005F3605" w:rsidP="005F3605">
      <w:r>
        <w:t xml:space="preserve">Perez, E. C. De, </w:t>
      </w:r>
      <w:proofErr w:type="spellStart"/>
      <w:r>
        <w:t>Hurk</w:t>
      </w:r>
      <w:proofErr w:type="spellEnd"/>
      <w:r>
        <w:t xml:space="preserve">, B. Van Den, Aalst, M. K. Van, </w:t>
      </w:r>
      <w:proofErr w:type="spellStart"/>
      <w:r>
        <w:t>Amuron</w:t>
      </w:r>
      <w:proofErr w:type="spellEnd"/>
      <w:r>
        <w:t xml:space="preserve">, I. and </w:t>
      </w:r>
      <w:proofErr w:type="spellStart"/>
      <w:r>
        <w:t>Bamanya</w:t>
      </w:r>
      <w:proofErr w:type="spellEnd"/>
      <w:r>
        <w:t xml:space="preserve">, D.: Action-based flood forecasting for triggering humanitarian action, </w:t>
      </w:r>
      <w:proofErr w:type="spellStart"/>
      <w:r>
        <w:t>Hydrol</w:t>
      </w:r>
      <w:proofErr w:type="spellEnd"/>
      <w:r>
        <w:t>. Earth Syst. Sci., 20, 3549–3560, doi:10.5194/hess-20-3549-2016, 2016.</w:t>
      </w:r>
    </w:p>
    <w:p w14:paraId="175F29F1" w14:textId="77777777" w:rsidR="005F3605" w:rsidRDefault="005F3605" w:rsidP="005F3605">
      <w:proofErr w:type="spellStart"/>
      <w:r>
        <w:lastRenderedPageBreak/>
        <w:t>Pusch</w:t>
      </w:r>
      <w:proofErr w:type="spellEnd"/>
      <w:r>
        <w:t>, C.: Preventable losses: saving lives and property through hazard risk management: a comprehensive risk management framework for Europe and central Asia., 2004.</w:t>
      </w:r>
    </w:p>
    <w:p w14:paraId="38D8B487" w14:textId="77777777" w:rsidR="005F3605" w:rsidRDefault="005F3605" w:rsidP="005F3605">
      <w:r>
        <w:t xml:space="preserve">Ramirez, I. J. and Briones, F.: Understanding the El Niño </w:t>
      </w:r>
      <w:proofErr w:type="spellStart"/>
      <w:r>
        <w:t>Costero</w:t>
      </w:r>
      <w:proofErr w:type="spellEnd"/>
      <w:r>
        <w:t xml:space="preserve"> of 2017: The definition problem and challenges of climate forecast and disaster responses, Int. J. Disaster Risk Sci., 489–492, doi:10.1007/s13753-017-0151-8, 2017.</w:t>
      </w:r>
    </w:p>
    <w:p w14:paraId="6C927ECD" w14:textId="77777777" w:rsidR="005F3605" w:rsidRDefault="005F3605" w:rsidP="005F3605">
      <w:r>
        <w:t xml:space="preserve">Rayner, S., </w:t>
      </w:r>
      <w:proofErr w:type="spellStart"/>
      <w:r>
        <w:t>Lach</w:t>
      </w:r>
      <w:proofErr w:type="spellEnd"/>
      <w:r>
        <w:t xml:space="preserve">, D. and Ingram, H.: Weather forecasts are for wimps*: Why water resource managers do 59 not use climate forecasts, </w:t>
      </w:r>
      <w:proofErr w:type="spellStart"/>
      <w:r>
        <w:t>Clim</w:t>
      </w:r>
      <w:proofErr w:type="spellEnd"/>
      <w:r>
        <w:t>. Change, 69, 197–227, 2005.</w:t>
      </w:r>
    </w:p>
    <w:p w14:paraId="4B175D8E" w14:textId="77777777" w:rsidR="005F3605" w:rsidRDefault="005F3605" w:rsidP="005F3605">
      <w:r>
        <w:t xml:space="preserve">Slater, L. and Villarini, G.: Recent trends in U.S. flood risk, </w:t>
      </w:r>
      <w:proofErr w:type="spellStart"/>
      <w:r>
        <w:t>Geophys</w:t>
      </w:r>
      <w:proofErr w:type="spellEnd"/>
      <w:r>
        <w:t>. Res. Lett., 43, 12,428-12,436, doi:10.1002/2016GL071199, 2016.</w:t>
      </w:r>
    </w:p>
    <w:p w14:paraId="5A6CFDC1" w14:textId="77777777" w:rsidR="005F3605" w:rsidRDefault="005F3605" w:rsidP="005F3605">
      <w:r>
        <w:t xml:space="preserve">Stephens, E., Day, J. J., Pappenberger, F. and Cloke, H.: Precipitation and floodiness, </w:t>
      </w:r>
      <w:proofErr w:type="spellStart"/>
      <w:r>
        <w:t>Geophys</w:t>
      </w:r>
      <w:proofErr w:type="spellEnd"/>
      <w:r>
        <w:t>. Res. Lett., 316–323, doi:10.1002/2015GL066779.Received, 2015.</w:t>
      </w:r>
    </w:p>
    <w:p w14:paraId="224FC7E8" w14:textId="77777777" w:rsidR="005F3605" w:rsidRDefault="005F3605" w:rsidP="005F3605">
      <w:r>
        <w:t>Takahashi, K. and Martínez, A. G.: The very strong coastal El Niño in 1925 in the far</w:t>
      </w:r>
      <w:r>
        <w:noBreakHyphen/>
        <w:t xml:space="preserve">eastern Pacific, </w:t>
      </w:r>
      <w:proofErr w:type="spellStart"/>
      <w:r>
        <w:t>Clim</w:t>
      </w:r>
      <w:proofErr w:type="spellEnd"/>
      <w:r>
        <w:t xml:space="preserve">. </w:t>
      </w:r>
      <w:proofErr w:type="spellStart"/>
      <w:r>
        <w:t>Dyn</w:t>
      </w:r>
      <w:proofErr w:type="spellEnd"/>
      <w:r>
        <w:t>., 52(12), 7389–7415, doi:10.1007/s00382-017-3702-1, 2017.</w:t>
      </w:r>
    </w:p>
    <w:p w14:paraId="69B4CD3F" w14:textId="77777777" w:rsidR="005F3605" w:rsidRDefault="005F3605" w:rsidP="005F3605">
      <w:r>
        <w:t xml:space="preserve">Tanner, T., Gray, B., </w:t>
      </w:r>
      <w:proofErr w:type="spellStart"/>
      <w:r>
        <w:t>Guigma</w:t>
      </w:r>
      <w:proofErr w:type="spellEnd"/>
      <w:r>
        <w:t xml:space="preserve">, K., Iqbal, J., Levine, S., Macleod, D., Nahar, K., </w:t>
      </w:r>
      <w:proofErr w:type="spellStart"/>
      <w:r>
        <w:t>Rejve</w:t>
      </w:r>
      <w:proofErr w:type="spellEnd"/>
      <w:r>
        <w:t>, K. and Venton, C. C.: Scaling up early action. Lessons, challenges and future potential in Bangladesh, London., 2019.</w:t>
      </w:r>
    </w:p>
    <w:p w14:paraId="5832CC0B" w14:textId="77777777" w:rsidR="005F3605" w:rsidRDefault="005F3605" w:rsidP="005F3605">
      <w:r>
        <w:t xml:space="preserve">Towner, J., Cloke, H. L., </w:t>
      </w:r>
      <w:proofErr w:type="spellStart"/>
      <w:r>
        <w:t>Lavado</w:t>
      </w:r>
      <w:proofErr w:type="spellEnd"/>
      <w:r>
        <w:t xml:space="preserve">, W., Santini, W., Bazo, J., Coughlan de Perez, E. and Stephens, E. M.: Attribution of Amazon floods to modes of climate variability: A review, </w:t>
      </w:r>
      <w:proofErr w:type="spellStart"/>
      <w:r>
        <w:t>Meteorol</w:t>
      </w:r>
      <w:proofErr w:type="spellEnd"/>
      <w:r>
        <w:t>. Appl., doi:10.1002/met.1949, 2020.</w:t>
      </w:r>
    </w:p>
    <w:p w14:paraId="2FCA99E3" w14:textId="77777777" w:rsidR="005F3605" w:rsidRDefault="005F3605" w:rsidP="005F3605">
      <w:proofErr w:type="spellStart"/>
      <w:r>
        <w:t>Venkateswaran</w:t>
      </w:r>
      <w:proofErr w:type="spellEnd"/>
      <w:r>
        <w:t xml:space="preserve">, K., </w:t>
      </w:r>
      <w:proofErr w:type="spellStart"/>
      <w:r>
        <w:t>MacClune</w:t>
      </w:r>
      <w:proofErr w:type="spellEnd"/>
      <w:r>
        <w:t xml:space="preserve">, K. and Enriquez, M. .: Learning from El Niño </w:t>
      </w:r>
      <w:proofErr w:type="spellStart"/>
      <w:r>
        <w:t>Costero</w:t>
      </w:r>
      <w:proofErr w:type="spellEnd"/>
      <w:r>
        <w:t xml:space="preserve"> 2017: Opportunities for building resilience in Peru., 2017.</w:t>
      </w:r>
    </w:p>
    <w:p w14:paraId="0A7E75C8" w14:textId="77777777" w:rsidR="005F3605" w:rsidRDefault="005F3605" w:rsidP="005F3605">
      <w:r>
        <w:t xml:space="preserve">Weaver, J., </w:t>
      </w:r>
      <w:proofErr w:type="spellStart"/>
      <w:r>
        <w:t>Harkabus</w:t>
      </w:r>
      <w:proofErr w:type="spellEnd"/>
      <w:r>
        <w:t xml:space="preserve">, L., Braun, J., Miller, S., Cox, R., Griffith, J. and Mazur, R.: An overview of a demographic study of United States emergency managers, Bull. Am. </w:t>
      </w:r>
      <w:proofErr w:type="spellStart"/>
      <w:r>
        <w:t>Meteorol</w:t>
      </w:r>
      <w:proofErr w:type="spellEnd"/>
      <w:r>
        <w:t>. Soc., 95(2), 199– 60 203, doi:10.1175/BAMS-D-12-00183.1, 2014.</w:t>
      </w:r>
    </w:p>
    <w:p w14:paraId="307924BE" w14:textId="77777777" w:rsidR="005F3605" w:rsidRDefault="005F3605" w:rsidP="005F3605">
      <w:proofErr w:type="spellStart"/>
      <w:r>
        <w:t>Wernstedt</w:t>
      </w:r>
      <w:proofErr w:type="spellEnd"/>
      <w:r>
        <w:t xml:space="preserve">, K., Roberts, P. S., </w:t>
      </w:r>
      <w:proofErr w:type="spellStart"/>
      <w:r>
        <w:t>Arvai</w:t>
      </w:r>
      <w:proofErr w:type="spellEnd"/>
      <w:r>
        <w:t>, J. and Redmond, K.: How emergency managers (mis?)interpret forecasts, Disasters, 43(1), 88–109, doi:10.1111/disa.12293, 2019.</w:t>
      </w:r>
    </w:p>
    <w:p w14:paraId="32835182" w14:textId="77777777" w:rsidR="005F3605" w:rsidRDefault="005F3605" w:rsidP="005F3605">
      <w:r>
        <w:t xml:space="preserve">Wilkinson, E., </w:t>
      </w:r>
      <w:proofErr w:type="spellStart"/>
      <w:r>
        <w:t>Weingärtner</w:t>
      </w:r>
      <w:proofErr w:type="spellEnd"/>
      <w:r>
        <w:t xml:space="preserve">, L., </w:t>
      </w:r>
      <w:proofErr w:type="spellStart"/>
      <w:r>
        <w:t>Choularton</w:t>
      </w:r>
      <w:proofErr w:type="spellEnd"/>
      <w:r>
        <w:t xml:space="preserve">, R., Bailey, M., Todd, M., </w:t>
      </w:r>
      <w:proofErr w:type="spellStart"/>
      <w:r>
        <w:t>Kniveton</w:t>
      </w:r>
      <w:proofErr w:type="spellEnd"/>
      <w:r>
        <w:t>, D. and Venton, C. C.: Forecasting hazards, averting disasters. Implementing forecast-based early action at scale, London., 2018.</w:t>
      </w:r>
    </w:p>
    <w:p w14:paraId="72DAC2D0" w14:textId="77777777" w:rsidR="005F3605" w:rsidRDefault="005F3605" w:rsidP="005F3605"/>
    <w:p w14:paraId="3A445300" w14:textId="77777777" w:rsidR="0065459F" w:rsidRDefault="0065459F"/>
    <w:sectPr w:rsidR="00654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32B"/>
    <w:multiLevelType w:val="hybridMultilevel"/>
    <w:tmpl w:val="740C70F2"/>
    <w:lvl w:ilvl="0" w:tplc="E1DE8F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2663"/>
    <w:multiLevelType w:val="multilevel"/>
    <w:tmpl w:val="DAE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0466"/>
    <w:multiLevelType w:val="hybridMultilevel"/>
    <w:tmpl w:val="E14E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5FF"/>
    <w:multiLevelType w:val="hybridMultilevel"/>
    <w:tmpl w:val="6610DE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DC76A8"/>
    <w:multiLevelType w:val="hybridMultilevel"/>
    <w:tmpl w:val="D764A1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548D2"/>
    <w:multiLevelType w:val="hybridMultilevel"/>
    <w:tmpl w:val="BC604A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2A29CC"/>
    <w:multiLevelType w:val="hybridMultilevel"/>
    <w:tmpl w:val="CD56E140"/>
    <w:lvl w:ilvl="0" w:tplc="128E1A92">
      <w:start w:val="1"/>
      <w:numFmt w:val="lowerRoman"/>
      <w:lvlText w:val="%1."/>
      <w:lvlJc w:val="right"/>
      <w:pPr>
        <w:ind w:left="104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D6B7B"/>
    <w:multiLevelType w:val="hybridMultilevel"/>
    <w:tmpl w:val="10A4AB20"/>
    <w:lvl w:ilvl="0" w:tplc="8CFC2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8573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E8145D5"/>
    <w:multiLevelType w:val="hybridMultilevel"/>
    <w:tmpl w:val="67E659A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4D530C"/>
    <w:multiLevelType w:val="hybridMultilevel"/>
    <w:tmpl w:val="FE00D12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5D3441"/>
    <w:multiLevelType w:val="hybridMultilevel"/>
    <w:tmpl w:val="A61ADC1C"/>
    <w:lvl w:ilvl="0" w:tplc="E540620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67866"/>
    <w:multiLevelType w:val="hybridMultilevel"/>
    <w:tmpl w:val="2312D5A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4A671F9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207D2"/>
    <w:multiLevelType w:val="multilevel"/>
    <w:tmpl w:val="0809001D"/>
    <w:numStyleLink w:val="Stile1"/>
  </w:abstractNum>
  <w:abstractNum w:abstractNumId="15" w15:restartNumberingAfterBreak="0">
    <w:nsid w:val="3ABF6718"/>
    <w:multiLevelType w:val="hybridMultilevel"/>
    <w:tmpl w:val="EE6AE25C"/>
    <w:lvl w:ilvl="0" w:tplc="08F29C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E538E"/>
    <w:multiLevelType w:val="hybridMultilevel"/>
    <w:tmpl w:val="573C0AE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3164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F3F02C1"/>
    <w:multiLevelType w:val="hybridMultilevel"/>
    <w:tmpl w:val="93468E2A"/>
    <w:lvl w:ilvl="0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49118C"/>
    <w:multiLevelType w:val="hybridMultilevel"/>
    <w:tmpl w:val="9D6A5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14E5C"/>
    <w:multiLevelType w:val="hybridMultilevel"/>
    <w:tmpl w:val="DAB26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82B67"/>
    <w:multiLevelType w:val="multilevel"/>
    <w:tmpl w:val="0809001D"/>
    <w:styleLink w:val="Sti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)"/>
      <w:lvlJc w:val="left"/>
      <w:pPr>
        <w:ind w:left="720" w:hanging="360"/>
      </w:pPr>
      <w:rPr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5017403"/>
    <w:multiLevelType w:val="hybridMultilevel"/>
    <w:tmpl w:val="B1E8AD7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58D7667"/>
    <w:multiLevelType w:val="hybridMultilevel"/>
    <w:tmpl w:val="250CAA6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97426EC"/>
    <w:multiLevelType w:val="hybridMultilevel"/>
    <w:tmpl w:val="D10EB3E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AE16A0F"/>
    <w:multiLevelType w:val="hybridMultilevel"/>
    <w:tmpl w:val="41585B1A"/>
    <w:lvl w:ilvl="0" w:tplc="A3C89A14">
      <w:start w:val="1"/>
      <w:numFmt w:val="lowerRoman"/>
      <w:lvlText w:val="(%1)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F1B167C"/>
    <w:multiLevelType w:val="hybridMultilevel"/>
    <w:tmpl w:val="80EAF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70A45"/>
    <w:multiLevelType w:val="hybridMultilevel"/>
    <w:tmpl w:val="57F0E4B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BBE48BC"/>
    <w:multiLevelType w:val="multilevel"/>
    <w:tmpl w:val="0EFE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B471B"/>
    <w:multiLevelType w:val="hybridMultilevel"/>
    <w:tmpl w:val="54C09FE0"/>
    <w:lvl w:ilvl="0" w:tplc="D47E7D1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F0F00F7"/>
    <w:multiLevelType w:val="hybridMultilevel"/>
    <w:tmpl w:val="E2B00534"/>
    <w:lvl w:ilvl="0" w:tplc="C4A2F72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2785EA9"/>
    <w:multiLevelType w:val="hybridMultilevel"/>
    <w:tmpl w:val="9C8C3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C79AB"/>
    <w:multiLevelType w:val="hybridMultilevel"/>
    <w:tmpl w:val="AE660B04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7295208"/>
    <w:multiLevelType w:val="hybridMultilevel"/>
    <w:tmpl w:val="8564D09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80322E"/>
    <w:multiLevelType w:val="hybridMultilevel"/>
    <w:tmpl w:val="A69E73D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47B7696"/>
    <w:multiLevelType w:val="hybridMultilevel"/>
    <w:tmpl w:val="6994DC74"/>
    <w:lvl w:ilvl="0" w:tplc="EF8A4902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C524FA"/>
    <w:multiLevelType w:val="hybridMultilevel"/>
    <w:tmpl w:val="8BC442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52FD1"/>
    <w:multiLevelType w:val="hybridMultilevel"/>
    <w:tmpl w:val="1FCE929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EA975DD"/>
    <w:multiLevelType w:val="hybridMultilevel"/>
    <w:tmpl w:val="FDB6B4C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0"/>
  </w:num>
  <w:num w:numId="5">
    <w:abstractNumId w:val="2"/>
  </w:num>
  <w:num w:numId="6">
    <w:abstractNumId w:val="7"/>
  </w:num>
  <w:num w:numId="7">
    <w:abstractNumId w:val="34"/>
  </w:num>
  <w:num w:numId="8">
    <w:abstractNumId w:val="34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20"/>
  </w:num>
  <w:num w:numId="11">
    <w:abstractNumId w:val="14"/>
  </w:num>
  <w:num w:numId="12">
    <w:abstractNumId w:val="8"/>
  </w:num>
  <w:num w:numId="13">
    <w:abstractNumId w:val="25"/>
  </w:num>
  <w:num w:numId="14">
    <w:abstractNumId w:val="18"/>
  </w:num>
  <w:num w:numId="15">
    <w:abstractNumId w:val="12"/>
  </w:num>
  <w:num w:numId="16">
    <w:abstractNumId w:val="10"/>
  </w:num>
  <w:num w:numId="17">
    <w:abstractNumId w:val="32"/>
  </w:num>
  <w:num w:numId="18">
    <w:abstractNumId w:val="26"/>
  </w:num>
  <w:num w:numId="19">
    <w:abstractNumId w:val="29"/>
  </w:num>
  <w:num w:numId="20">
    <w:abstractNumId w:val="28"/>
  </w:num>
  <w:num w:numId="21">
    <w:abstractNumId w:val="15"/>
  </w:num>
  <w:num w:numId="22">
    <w:abstractNumId w:val="17"/>
  </w:num>
  <w:num w:numId="23">
    <w:abstractNumId w:val="4"/>
  </w:num>
  <w:num w:numId="24">
    <w:abstractNumId w:val="27"/>
  </w:num>
  <w:num w:numId="25">
    <w:abstractNumId w:val="1"/>
  </w:num>
  <w:num w:numId="26">
    <w:abstractNumId w:val="36"/>
  </w:num>
  <w:num w:numId="27">
    <w:abstractNumId w:val="5"/>
  </w:num>
  <w:num w:numId="28">
    <w:abstractNumId w:val="13"/>
  </w:num>
  <w:num w:numId="29">
    <w:abstractNumId w:val="23"/>
  </w:num>
  <w:num w:numId="30">
    <w:abstractNumId w:val="22"/>
  </w:num>
  <w:num w:numId="31">
    <w:abstractNumId w:val="9"/>
  </w:num>
  <w:num w:numId="32">
    <w:abstractNumId w:val="19"/>
  </w:num>
  <w:num w:numId="33">
    <w:abstractNumId w:val="33"/>
  </w:num>
  <w:num w:numId="34">
    <w:abstractNumId w:val="21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1"/>
  </w:num>
  <w:num w:numId="38">
    <w:abstractNumId w:val="35"/>
  </w:num>
  <w:num w:numId="39">
    <w:abstractNumId w:val="37"/>
  </w:num>
  <w:num w:numId="40">
    <w:abstractNumId w:val="16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tTQ1sjAzN7QwNDJU0lEKTi0uzszPAykwrAUAoNRoKCwAAAA="/>
  </w:docVars>
  <w:rsids>
    <w:rsidRoot w:val="005F3605"/>
    <w:rsid w:val="0003002C"/>
    <w:rsid w:val="00042EF6"/>
    <w:rsid w:val="0004548B"/>
    <w:rsid w:val="00083EB8"/>
    <w:rsid w:val="00084A95"/>
    <w:rsid w:val="000A1735"/>
    <w:rsid w:val="000A19C0"/>
    <w:rsid w:val="000B276E"/>
    <w:rsid w:val="0012111E"/>
    <w:rsid w:val="00121469"/>
    <w:rsid w:val="00122955"/>
    <w:rsid w:val="001407E4"/>
    <w:rsid w:val="00162F48"/>
    <w:rsid w:val="00190A28"/>
    <w:rsid w:val="001C72A4"/>
    <w:rsid w:val="001E7F7D"/>
    <w:rsid w:val="001F22D7"/>
    <w:rsid w:val="00266CD7"/>
    <w:rsid w:val="0027038C"/>
    <w:rsid w:val="00280EF7"/>
    <w:rsid w:val="0028279C"/>
    <w:rsid w:val="002927D9"/>
    <w:rsid w:val="00295407"/>
    <w:rsid w:val="002C161C"/>
    <w:rsid w:val="002E65C4"/>
    <w:rsid w:val="00315901"/>
    <w:rsid w:val="00323071"/>
    <w:rsid w:val="00346BF2"/>
    <w:rsid w:val="0037028F"/>
    <w:rsid w:val="003A39F6"/>
    <w:rsid w:val="003A4D1D"/>
    <w:rsid w:val="003D592B"/>
    <w:rsid w:val="003E6CC7"/>
    <w:rsid w:val="00447969"/>
    <w:rsid w:val="004509EA"/>
    <w:rsid w:val="00487734"/>
    <w:rsid w:val="00493A52"/>
    <w:rsid w:val="0049527A"/>
    <w:rsid w:val="004D6A6A"/>
    <w:rsid w:val="004E33D4"/>
    <w:rsid w:val="004E7D48"/>
    <w:rsid w:val="00504633"/>
    <w:rsid w:val="00531019"/>
    <w:rsid w:val="005C40E2"/>
    <w:rsid w:val="005D1FC4"/>
    <w:rsid w:val="005D3DE9"/>
    <w:rsid w:val="005F3605"/>
    <w:rsid w:val="005F53BC"/>
    <w:rsid w:val="00636948"/>
    <w:rsid w:val="00642791"/>
    <w:rsid w:val="0065459F"/>
    <w:rsid w:val="006625BC"/>
    <w:rsid w:val="006C3795"/>
    <w:rsid w:val="006E24EB"/>
    <w:rsid w:val="006E474F"/>
    <w:rsid w:val="00717712"/>
    <w:rsid w:val="00774E03"/>
    <w:rsid w:val="007A1487"/>
    <w:rsid w:val="007A2E6B"/>
    <w:rsid w:val="007B3991"/>
    <w:rsid w:val="007B6D8D"/>
    <w:rsid w:val="007F4484"/>
    <w:rsid w:val="00831173"/>
    <w:rsid w:val="00831DBC"/>
    <w:rsid w:val="00853351"/>
    <w:rsid w:val="0085749B"/>
    <w:rsid w:val="008763A1"/>
    <w:rsid w:val="008D4CA7"/>
    <w:rsid w:val="0092454C"/>
    <w:rsid w:val="00927232"/>
    <w:rsid w:val="00930223"/>
    <w:rsid w:val="0095224E"/>
    <w:rsid w:val="00984EEA"/>
    <w:rsid w:val="00985394"/>
    <w:rsid w:val="00992F7E"/>
    <w:rsid w:val="009E007F"/>
    <w:rsid w:val="009F22DC"/>
    <w:rsid w:val="009F6057"/>
    <w:rsid w:val="00A047A8"/>
    <w:rsid w:val="00A10D22"/>
    <w:rsid w:val="00A10E29"/>
    <w:rsid w:val="00A177C3"/>
    <w:rsid w:val="00A208A4"/>
    <w:rsid w:val="00A41405"/>
    <w:rsid w:val="00A83348"/>
    <w:rsid w:val="00AE3D88"/>
    <w:rsid w:val="00AF2A1C"/>
    <w:rsid w:val="00B11C85"/>
    <w:rsid w:val="00B17836"/>
    <w:rsid w:val="00B2415F"/>
    <w:rsid w:val="00B912F9"/>
    <w:rsid w:val="00BA6DD7"/>
    <w:rsid w:val="00BB5BD6"/>
    <w:rsid w:val="00C24EF4"/>
    <w:rsid w:val="00C46283"/>
    <w:rsid w:val="00C5713B"/>
    <w:rsid w:val="00C577E7"/>
    <w:rsid w:val="00C806B3"/>
    <w:rsid w:val="00C94835"/>
    <w:rsid w:val="00CB5AE5"/>
    <w:rsid w:val="00CC62FD"/>
    <w:rsid w:val="00CC68E7"/>
    <w:rsid w:val="00CF7260"/>
    <w:rsid w:val="00D009E7"/>
    <w:rsid w:val="00D514E2"/>
    <w:rsid w:val="00D60C8F"/>
    <w:rsid w:val="00D87099"/>
    <w:rsid w:val="00DB1E1A"/>
    <w:rsid w:val="00E41646"/>
    <w:rsid w:val="00E478EB"/>
    <w:rsid w:val="00E832B5"/>
    <w:rsid w:val="00E90976"/>
    <w:rsid w:val="00E921EF"/>
    <w:rsid w:val="00EF35C6"/>
    <w:rsid w:val="00EF3961"/>
    <w:rsid w:val="00F06D29"/>
    <w:rsid w:val="00F74481"/>
    <w:rsid w:val="00F77AFF"/>
    <w:rsid w:val="00F8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8E60"/>
  <w15:chartTrackingRefBased/>
  <w15:docId w15:val="{16F7BF1A-3F74-49E5-8AB0-32B2E1BF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05"/>
    <w:pPr>
      <w:spacing w:before="60" w:after="0" w:line="240" w:lineRule="auto"/>
      <w:ind w:firstLine="284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605"/>
    <w:pPr>
      <w:keepNext/>
      <w:keepLines/>
      <w:numPr>
        <w:numId w:val="12"/>
      </w:numPr>
      <w:spacing w:before="240"/>
      <w:ind w:left="431" w:hanging="431"/>
      <w:jc w:val="lef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605"/>
    <w:pPr>
      <w:keepNext/>
      <w:keepLines/>
      <w:numPr>
        <w:ilvl w:val="1"/>
        <w:numId w:val="12"/>
      </w:numPr>
      <w:spacing w:before="120"/>
      <w:ind w:left="578" w:hanging="578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605"/>
    <w:pPr>
      <w:keepNext/>
      <w:keepLines/>
      <w:numPr>
        <w:ilvl w:val="2"/>
        <w:numId w:val="12"/>
      </w:numPr>
      <w:spacing w:before="120" w:after="120"/>
      <w:jc w:val="left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3605"/>
    <w:pPr>
      <w:numPr>
        <w:ilvl w:val="3"/>
      </w:numPr>
      <w:spacing w:before="40"/>
      <w:outlineLvl w:val="3"/>
    </w:pPr>
    <w:rPr>
      <w:b w:val="0"/>
      <w:i/>
      <w:iCs/>
      <w:small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05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05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05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05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05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05"/>
    <w:rPr>
      <w:rFonts w:eastAsiaTheme="majorEastAsia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605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605"/>
    <w:rPr>
      <w:rFonts w:eastAsiaTheme="majorEastAsia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605"/>
    <w:rPr>
      <w:rFonts w:eastAsiaTheme="majorEastAsia" w:cstheme="majorBidi"/>
      <w:i/>
      <w:iCs/>
      <w:smallCap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0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0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0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F3605"/>
    <w:pPr>
      <w:spacing w:before="0" w:after="360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05"/>
    <w:rPr>
      <w:rFonts w:eastAsiaTheme="majorEastAsia" w:cstheme="majorBidi"/>
      <w:b/>
      <w:spacing w:val="-10"/>
      <w:kern w:val="28"/>
      <w:sz w:val="32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5F3605"/>
  </w:style>
  <w:style w:type="paragraph" w:styleId="Header">
    <w:name w:val="header"/>
    <w:basedOn w:val="Normal"/>
    <w:link w:val="HeaderChar"/>
    <w:uiPriority w:val="99"/>
    <w:unhideWhenUsed/>
    <w:rsid w:val="005F3605"/>
    <w:pPr>
      <w:tabs>
        <w:tab w:val="center" w:pos="4819"/>
        <w:tab w:val="right" w:pos="96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F360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5F3605"/>
    <w:pPr>
      <w:tabs>
        <w:tab w:val="center" w:pos="4819"/>
        <w:tab w:val="right" w:pos="96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F3605"/>
    <w:rPr>
      <w:sz w:val="20"/>
    </w:rPr>
  </w:style>
  <w:style w:type="paragraph" w:styleId="NoSpacing">
    <w:name w:val="No Spacing"/>
    <w:aliases w:val="Author"/>
    <w:basedOn w:val="Normal"/>
    <w:uiPriority w:val="1"/>
    <w:qFormat/>
    <w:rsid w:val="005F3605"/>
    <w:pPr>
      <w:spacing w:before="240"/>
      <w:ind w:firstLine="0"/>
      <w:jc w:val="center"/>
    </w:pPr>
    <w:rPr>
      <w:smallCaps/>
    </w:rPr>
  </w:style>
  <w:style w:type="paragraph" w:customStyle="1" w:styleId="Affiliation">
    <w:name w:val="Affiliation"/>
    <w:basedOn w:val="NoSpacing"/>
    <w:next w:val="Normal"/>
    <w:qFormat/>
    <w:rsid w:val="005F3605"/>
    <w:pPr>
      <w:spacing w:before="0"/>
    </w:pPr>
    <w:rPr>
      <w:i/>
      <w:iCs/>
      <w:smallCaps w:val="0"/>
    </w:rPr>
  </w:style>
  <w:style w:type="paragraph" w:styleId="Quote">
    <w:name w:val="Quote"/>
    <w:basedOn w:val="Normal"/>
    <w:next w:val="Normal"/>
    <w:link w:val="QuoteChar"/>
    <w:uiPriority w:val="29"/>
    <w:qFormat/>
    <w:rsid w:val="005F3605"/>
    <w:pPr>
      <w:spacing w:before="120" w:after="120"/>
      <w:ind w:left="567" w:right="567"/>
    </w:pPr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F3605"/>
    <w:rPr>
      <w:i/>
      <w:iCs/>
      <w:color w:val="7F7F7F" w:themeColor="text1" w:themeTint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05"/>
    <w:rPr>
      <w:i/>
      <w:iCs/>
      <w:color w:val="4472C4" w:themeColor="accent1"/>
      <w:sz w:val="20"/>
    </w:rPr>
  </w:style>
  <w:style w:type="character" w:styleId="IntenseReference">
    <w:name w:val="Intense Reference"/>
    <w:basedOn w:val="DefaultParagraphFont"/>
    <w:uiPriority w:val="32"/>
    <w:qFormat/>
    <w:rsid w:val="005F3605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5F360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36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3605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5F360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F360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360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F360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F3605"/>
    <w:pPr>
      <w:spacing w:after="60"/>
      <w:ind w:firstLine="567"/>
    </w:pPr>
    <w:rPr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60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F3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3605"/>
    <w:pPr>
      <w:spacing w:before="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6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605"/>
    <w:pPr>
      <w:spacing w:before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60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F3605"/>
    <w:pPr>
      <w:spacing w:after="0" w:line="240" w:lineRule="auto"/>
    </w:pPr>
  </w:style>
  <w:style w:type="table" w:styleId="TableGrid">
    <w:name w:val="Table Grid"/>
    <w:basedOn w:val="TableNormal"/>
    <w:uiPriority w:val="39"/>
    <w:rsid w:val="005F3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F3605"/>
    <w:rPr>
      <w:color w:val="605E5C"/>
      <w:shd w:val="clear" w:color="auto" w:fill="E1DFDD"/>
    </w:rPr>
  </w:style>
  <w:style w:type="paragraph" w:customStyle="1" w:styleId="References">
    <w:name w:val="References"/>
    <w:basedOn w:val="Normal"/>
    <w:qFormat/>
    <w:rsid w:val="005F3605"/>
    <w:pPr>
      <w:widowControl w:val="0"/>
      <w:autoSpaceDE w:val="0"/>
      <w:autoSpaceDN w:val="0"/>
      <w:adjustRightInd w:val="0"/>
      <w:spacing w:before="240" w:line="360" w:lineRule="auto"/>
      <w:ind w:left="482" w:hanging="482"/>
    </w:pPr>
    <w:rPr>
      <w:rFonts w:cs="Times New Roman"/>
      <w:noProof/>
      <w:szCs w:val="24"/>
    </w:rPr>
  </w:style>
  <w:style w:type="paragraph" w:customStyle="1" w:styleId="Quotation">
    <w:name w:val="Quotation"/>
    <w:basedOn w:val="Normal"/>
    <w:rsid w:val="005F3605"/>
    <w:pPr>
      <w:spacing w:before="0" w:after="240" w:line="360" w:lineRule="auto"/>
      <w:ind w:left="1134" w:right="1134" w:firstLine="0"/>
    </w:pPr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F360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3605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3605"/>
    <w:pPr>
      <w:spacing w:before="240"/>
      <w:jc w:val="left"/>
    </w:pPr>
    <w:rPr>
      <w:rFonts w:cs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3605"/>
    <w:pPr>
      <w:spacing w:before="0"/>
      <w:ind w:left="24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3605"/>
    <w:pPr>
      <w:spacing w:before="0"/>
      <w:ind w:left="480"/>
      <w:jc w:val="left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F3605"/>
    <w:pPr>
      <w:spacing w:before="0"/>
      <w:ind w:left="720"/>
      <w:jc w:val="left"/>
    </w:pPr>
    <w:rPr>
      <w:rFonts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3605"/>
    <w:pPr>
      <w:spacing w:before="0"/>
      <w:ind w:left="960"/>
      <w:jc w:val="left"/>
    </w:pPr>
    <w:rPr>
      <w:rFonts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3605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3605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3605"/>
    <w:pPr>
      <w:spacing w:before="0"/>
      <w:ind w:left="1680"/>
      <w:jc w:val="left"/>
    </w:pPr>
    <w:rPr>
      <w:rFonts w:cstheme="minorHAnsi"/>
      <w:szCs w:val="20"/>
    </w:rPr>
  </w:style>
  <w:style w:type="table" w:styleId="GridTable4-Accent3">
    <w:name w:val="Grid Table 4 Accent 3"/>
    <w:basedOn w:val="TableNormal"/>
    <w:uiPriority w:val="49"/>
    <w:rsid w:val="005F36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Stile1">
    <w:name w:val="Stile1"/>
    <w:uiPriority w:val="99"/>
    <w:rsid w:val="005F3605"/>
    <w:pPr>
      <w:numPr>
        <w:numId w:val="10"/>
      </w:numPr>
    </w:pPr>
  </w:style>
  <w:style w:type="paragraph" w:customStyle="1" w:styleId="CaptionTable">
    <w:name w:val="Caption Table"/>
    <w:basedOn w:val="Caption"/>
    <w:qFormat/>
    <w:rsid w:val="005F3605"/>
    <w:pPr>
      <w:spacing w:before="240" w:after="120"/>
      <w:ind w:firstLine="284"/>
    </w:pPr>
    <w:rPr>
      <w:rFonts w:cstheme="minorHAnsi"/>
    </w:rPr>
  </w:style>
  <w:style w:type="paragraph" w:customStyle="1" w:styleId="CaptionFigure">
    <w:name w:val="Caption Figure"/>
    <w:basedOn w:val="CaptionTable"/>
    <w:qFormat/>
    <w:rsid w:val="005F3605"/>
    <w:pPr>
      <w:spacing w:before="120" w:after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3605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6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3605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F3605"/>
    <w:rPr>
      <w:vertAlign w:val="superscript"/>
    </w:rPr>
  </w:style>
  <w:style w:type="paragraph" w:customStyle="1" w:styleId="TableText">
    <w:name w:val="Table Text"/>
    <w:basedOn w:val="Normal"/>
    <w:qFormat/>
    <w:rsid w:val="005F3605"/>
    <w:pPr>
      <w:keepNext/>
      <w:framePr w:hSpace="181" w:wrap="around" w:vAnchor="page" w:hAnchor="margin" w:y="2937"/>
      <w:spacing w:after="60"/>
      <w:ind w:firstLine="0"/>
      <w:suppressOverlap/>
    </w:pPr>
    <w:rPr>
      <w:rFonts w:cstheme="minorHAnsi"/>
      <w:bCs/>
      <w:sz w:val="16"/>
      <w:szCs w:val="16"/>
    </w:rPr>
  </w:style>
  <w:style w:type="character" w:customStyle="1" w:styleId="discussion-level-1">
    <w:name w:val="discussion-level-1"/>
    <w:basedOn w:val="DefaultParagraphFont"/>
    <w:rsid w:val="005F3605"/>
  </w:style>
  <w:style w:type="paragraph" w:styleId="NormalWeb">
    <w:name w:val="Normal (Web)"/>
    <w:basedOn w:val="Normal"/>
    <w:uiPriority w:val="99"/>
    <w:semiHidden/>
    <w:unhideWhenUsed/>
    <w:rsid w:val="005F3605"/>
    <w:rPr>
      <w:rFonts w:ascii="Times New Roman" w:hAnsi="Times New Roman" w:cs="Times New Roman"/>
      <w:sz w:val="24"/>
      <w:szCs w:val="24"/>
    </w:rPr>
  </w:style>
  <w:style w:type="paragraph" w:customStyle="1" w:styleId="CaptionNew">
    <w:name w:val="Caption New"/>
    <w:basedOn w:val="CaptionTable"/>
    <w:rsid w:val="005F3605"/>
    <w:pPr>
      <w:spacing w:before="120" w:after="240"/>
    </w:pPr>
    <w:rPr>
      <w:sz w:val="16"/>
    </w:rPr>
  </w:style>
  <w:style w:type="character" w:customStyle="1" w:styleId="topic-highlight">
    <w:name w:val="topic-highlight"/>
    <w:basedOn w:val="DefaultParagraphFont"/>
    <w:rsid w:val="005F3605"/>
  </w:style>
  <w:style w:type="character" w:styleId="FollowedHyperlink">
    <w:name w:val="FollowedHyperlink"/>
    <w:basedOn w:val="DefaultParagraphFont"/>
    <w:uiPriority w:val="99"/>
    <w:semiHidden/>
    <w:unhideWhenUsed/>
    <w:rsid w:val="005F3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Pillosu</dc:creator>
  <cp:keywords/>
  <dc:description/>
  <cp:lastModifiedBy>Fatima Pillosu</cp:lastModifiedBy>
  <cp:revision>113</cp:revision>
  <dcterms:created xsi:type="dcterms:W3CDTF">2022-02-04T14:45:00Z</dcterms:created>
  <dcterms:modified xsi:type="dcterms:W3CDTF">2022-02-11T20:47:00Z</dcterms:modified>
</cp:coreProperties>
</file>