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BỘ GIÁO DỤC VÀ ĐÀO TẠO</w:t>
      </w:r>
    </w:p>
    <w:p>
      <w:pPr>
        <w:jc w:val="center"/>
      </w:pPr>
      <w:r>
        <w:rPr>
          <w:b/>
          <w:i w:val="0"/>
          <w:sz w:val="26"/>
        </w:rPr>
        <w:t>TRƯỜNG ĐẠI HỌC CÔNG NGHỆ KỸ THUẬT TP. HCM</w:t>
      </w:r>
    </w:p>
    <w:p>
      <w:pPr>
        <w:jc w:val="center"/>
      </w:pPr>
      <w:r>
        <w:rPr>
          <w:b/>
          <w:i w:val="0"/>
          <w:sz w:val="26"/>
        </w:rPr>
        <w:t>KHOA CÔNG NGHỆ THÔNG TIN</w:t>
      </w:r>
    </w:p>
    <w:p>
      <w:pPr>
        <w:jc w:val="both"/>
      </w:pPr>
      <w:r>
        <w:rPr>
          <w:b w:val="0"/>
          <w:i w:val="0"/>
        </w:rPr>
      </w:r>
    </w:p>
    <w:p>
      <w:pPr>
        <w:jc w:val="center"/>
      </w:pPr>
      <w:r>
        <w:drawing>
          <wp:inline xmlns:a="http://schemas.openxmlformats.org/drawingml/2006/main" xmlns:pic="http://schemas.openxmlformats.org/drawingml/2006/picture">
            <wp:extent cx="2340000" cy="1222513"/>
            <wp:docPr id="1" name="Picture 1" descr="Logo từ tài liệu gốc"/>
            <wp:cNvGraphicFramePr>
              <a:graphicFrameLocks noChangeAspect="1"/>
            </wp:cNvGraphicFramePr>
            <a:graphic>
              <a:graphicData uri="http://schemas.openxmlformats.org/drawingml/2006/picture">
                <pic:pic>
                  <pic:nvPicPr>
                    <pic:cNvPr id="0" name="inline_0.png"/>
                    <pic:cNvPicPr/>
                  </pic:nvPicPr>
                  <pic:blipFill>
                    <a:blip r:embed="rId11"/>
                    <a:stretch>
                      <a:fillRect/>
                    </a:stretch>
                  </pic:blipFill>
                  <pic:spPr>
                    <a:xfrm>
                      <a:off x="0" y="0"/>
                      <a:ext cx="2340000" cy="1222513"/>
                    </a:xfrm>
                    <a:prstGeom prst="rect"/>
                  </pic:spPr>
                </pic:pic>
              </a:graphicData>
            </a:graphic>
          </wp:inline>
        </w:drawing>
      </w:r>
    </w:p>
    <w:p>
      <w:pPr>
        <w:jc w:val="both"/>
      </w:pPr>
      <w:r>
        <w:rPr>
          <w:b w:val="0"/>
          <w:i w:val="0"/>
        </w:rPr>
      </w:r>
    </w:p>
    <w:p>
      <w:pPr>
        <w:jc w:val="center"/>
      </w:pPr>
      <w:r>
        <w:rPr>
          <w:b/>
          <w:i w:val="0"/>
          <w:sz w:val="34"/>
        </w:rPr>
        <w:t>ĐỀ CƯƠNG BÁO CÁO THỰC HÀNH GIỮA KỲ</w:t>
      </w:r>
    </w:p>
    <w:p>
      <w:pPr>
        <w:jc w:val="center"/>
      </w:pPr>
      <w:r>
        <w:rPr>
          <w:b/>
          <w:i w:val="0"/>
          <w:sz w:val="26"/>
        </w:rPr>
        <w:t>HỌC KỲ II/2025–2026</w:t>
      </w:r>
    </w:p>
    <w:p>
      <w:pPr>
        <w:jc w:val="center"/>
      </w:pPr>
      <w:r>
        <w:rPr>
          <w:b/>
          <w:i w:val="0"/>
          <w:sz w:val="30"/>
        </w:rPr>
        <w:t>TRÍ TUỆ NHÂN TẠO CHO IOT</w:t>
      </w:r>
    </w:p>
    <w:p>
      <w:pPr>
        <w:jc w:val="both"/>
      </w:pPr>
      <w:r>
        <w:rPr>
          <w:b w:val="0"/>
          <w:i w:val="0"/>
        </w:rPr>
      </w:r>
    </w:p>
    <w:p>
      <w:pPr>
        <w:jc w:val="center"/>
      </w:pPr>
      <w:r>
        <w:rPr>
          <w:b/>
          <w:i w:val="0"/>
          <w:sz w:val="34"/>
        </w:rPr>
        <w:t>SINH TÍN HIỆU PPG THEO NHỊP TIM</w:t>
        <w:br/>
        <w:t>BẰNG MẠNG TỰ MÃ HÓA BIẾN PHÂN</w:t>
        <w:br/>
        <w:t>CÓ ĐIỀU KIỆN cVAE</w:t>
      </w:r>
    </w:p>
    <w:p>
      <w:pPr>
        <w:jc w:val="both"/>
      </w:pPr>
      <w:r>
        <w:rPr>
          <w:b w:val="0"/>
          <w:i w:val="0"/>
        </w:rPr>
      </w:r>
    </w:p>
    <w:p>
      <w:pPr>
        <w:jc w:val="center"/>
      </w:pPr>
      <w:r>
        <w:rPr>
          <w:b w:val="0"/>
          <w:i w:val="0"/>
          <w:sz w:val="26"/>
        </w:rPr>
        <w:t>Giảng viên hướng dẫn: ThS. Hồ Nhựt Minh</w:t>
      </w:r>
    </w:p>
    <w:p>
      <w:pPr>
        <w:jc w:val="center"/>
      </w:pPr>
      <w:r>
        <w:rPr>
          <w:b w:val="0"/>
          <w:i w:val="0"/>
          <w:sz w:val="26"/>
        </w:rPr>
        <w:t>Sinh viên thực hiện: Phạm Đăng Quang</w:t>
      </w:r>
    </w:p>
    <w:p>
      <w:pPr>
        <w:jc w:val="center"/>
      </w:pPr>
      <w:r>
        <w:rPr>
          <w:b w:val="0"/>
          <w:i w:val="0"/>
          <w:sz w:val="26"/>
        </w:rPr>
        <w:t>Mã số sinh viên: 23110143</w:t>
      </w:r>
    </w:p>
    <w:p>
      <w:pPr>
        <w:jc w:val="center"/>
      </w:pPr>
      <w:r>
        <w:rPr>
          <w:b w:val="0"/>
          <w:i w:val="0"/>
          <w:sz w:val="26"/>
        </w:rPr>
        <w:t>Lớp: AIOT331185_01CLC  |  Mã đề: G2</w:t>
      </w:r>
    </w:p>
    <w:p>
      <w:pPr>
        <w:jc w:val="both"/>
      </w:pPr>
      <w:r>
        <w:rPr>
          <w:b w:val="0"/>
          <w:i w:val="0"/>
        </w:rPr>
      </w:r>
    </w:p>
    <w:p>
      <w:pPr>
        <w:jc w:val="center"/>
      </w:pPr>
      <w:r>
        <w:rPr>
          <w:b w:val="0"/>
          <w:i/>
          <w:sz w:val="23"/>
        </w:rPr>
        <w:t>Bản hiệu chỉnh khoa học – tháng 9 năm 2026</w:t>
      </w:r>
    </w:p>
    <w:p>
      <w:pPr>
        <w:jc w:val="center"/>
      </w:pPr>
      <w:r>
        <w:rPr>
          <w:b w:val="0"/>
          <w:i w:val="0"/>
          <w:sz w:val="24"/>
        </w:rPr>
        <w:t>Tp. Hồ Chí Minh, tháng 9 năm 2026</w:t>
      </w:r>
    </w:p>
    <w:p>
      <w:pPr>
        <w:pStyle w:val="Heading1"/>
        <w:keepNext/>
        <w:pageBreakBefore/>
      </w:pPr>
      <w:r>
        <w:t>1. ĐẶT VẤN ĐỀ VÀ MỤC TIÊU</w:t>
      </w:r>
    </w:p>
    <w:p>
      <w:pPr>
        <w:pStyle w:val="Heading2"/>
        <w:keepNext/>
      </w:pPr>
      <w:r>
        <w:t>1.1. Bối cảnh kỹ thuật</w:t>
      </w:r>
    </w:p>
    <w:p>
      <w:pPr>
        <w:jc w:val="both"/>
      </w:pPr>
      <w:r>
        <w:rPr>
          <w:b w:val="0"/>
          <w:i w:val="0"/>
        </w:rPr>
        <w:t>Tín hiệu quang thể tích (photoplethysmography – PPG) trên thiết bị đeo được sử dụng để ước lượng nhịp tim, nhưng dữ liệu cổ tay trong sinh hoạt có thể bị nhiễu do chuyển động [1], [5]. Đề tài xây dựng bộ sinh dạng sóng PPG có điều kiện theo nhịp tim để tạo đầu vào thử nghiệm cho thuật toán xử lý tín hiệu trong hệ thống IoT. Trọng tâm là khả năng điều khiển nhịp, độ tương đồng hình thái và chi phí thực thi của bộ sinh.</w:t>
      </w:r>
    </w:p>
    <w:p>
      <w:pPr>
        <w:jc w:val="both"/>
      </w:pPr>
      <w:r>
        <w:rPr>
          <w:b w:val="0"/>
          <w:i w:val="0"/>
        </w:rPr>
        <w:t>Đây là nghiên cứu triển khai và đánh giá cVAE cho bài toán cụ thể, không mặc định là một kiến trúc mới. Một tín hiệu có chu kỳ đúng chưa đủ để được xem là PPG có hình thái thực tế. Vì vậy, kết quả điều khiển HR phải được báo cáo riêng với kết quả tái tạo và phân tích phân bố hình thái.</w:t>
      </w:r>
    </w:p>
    <w:p>
      <w:pPr>
        <w:pStyle w:val="Heading2"/>
        <w:keepNext/>
      </w:pPr>
      <w:r>
        <w:t>1.2. Phát biểu bài toán và phạm vi</w:t>
      </w:r>
    </w:p>
    <w:p>
      <w:pPr>
        <w:jc w:val="both"/>
      </w:pPr>
      <w:r>
        <w:rPr>
          <w:b w:val="0"/>
          <w:i w:val="0"/>
        </w:rPr>
        <w:t>Mỗi mẫu huấn luyện gồm cửa sổ PPG một kênh x ∈ ℝ⁵¹², dài 8 giây ở 64 Hz, và nhãn nhịp tim tham chiếu h từ ECG, đơn vị bpm. Bộ mã hóa học qφ(z|x,c), với c = h/60. Bộ giải mã Dθ nhận vector z ∈ ℝ¹⁶ và điều kiện c để tạo đầu ra cùng kích thước. Các điều kiện HR khác nhau có thể tương ứng với nhiều dạng sóng; h không xác định duy nhất hình thái hoặc danh tính người đo.</w:t>
      </w:r>
    </w:p>
    <w:p>
      <w:pPr>
        <w:jc w:val="both"/>
      </w:pPr>
      <w:r>
        <w:rPr>
          <w:b w:val="0"/>
          <w:i w:val="0"/>
        </w:rPr>
        <w:t>Khi sinh tự do, dùng z lấy từ phân phối tiên nghiệm N(0,I), không đưa PPG kiểm thử vào bộ mã hóa. Khi đánh giá tái tạo, có thể đưa x kiểm thử qua bộ mã hóa; kết quả này phải nằm ở bảng riêng. Đề tài không chẩn đoán bệnh, không sinh ECG/ACC, không chứng minh tính hữu ích của tăng cường dữ liệu nếu chưa thực hiện thí nghiệm tác vụ đích.</w:t>
      </w:r>
    </w:p>
    <w:p>
      <w:pPr>
        <w:jc w:val="both"/>
      </w:pPr>
      <w:r>
        <w:rPr>
          <w:b w:val="0"/>
          <w:i w:val="0"/>
        </w:rPr>
        <w:t>Huấn luyện thực hiện trên máy tính. Phạm vi triển khai là bộ giải mã FP32 trên CPU máy thử hoặc cổng IoT có cấu hình được ghi rõ; chưa đặt yêu cầu chạy trên vi điều khiển. Việc chưa khảo sát INT8 là giới hạn phạm vi, không phải hạn chế bản chất của mô hình tạo sinh.</w:t>
      </w:r>
    </w:p>
    <w:p>
      <w:pPr>
        <w:pStyle w:val="Heading2"/>
        <w:keepNext/>
      </w:pPr>
      <w:r>
        <w:t>1.3. Mục tiêu định lượng và điều kiện diễn giải</w:t>
      </w:r>
    </w:p>
    <w:tbl>
      <w:tblPr>
        <w:tblW w:type="auto" w:w="0"/>
        <w:jc w:val="center"/>
        <w:tblLayout w:type="fixed"/>
        <w:tblLook w:firstColumn="1" w:firstRow="1" w:lastColumn="0" w:lastRow="0" w:noHBand="0" w:noVBand="1" w:val="04A0"/>
        <w:tblCaption w:val="Bảng 1 trong đề cương G2"/>
      </w:tblPr>
      <w:tblGrid>
        <w:gridCol w:w="1984"/>
        <w:gridCol w:w="7370"/>
      </w:tblGrid>
      <w:tr>
        <w:trPr>
          <w:cantSplit/>
          <w:tblHeader/>
        </w:trPr>
        <w:tc>
          <w:tcPr>
            <w:tcW w:type="dxa" w:w="198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Hạng mục</w:t>
            </w:r>
          </w:p>
        </w:tc>
        <w:tc>
          <w:tcPr>
            <w:tcW w:type="dxa" w:w="737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Mục tiêu thiết kế / yêu cầu báo cáo</w:t>
            </w:r>
          </w:p>
        </w:tc>
      </w:tr>
      <w:tr>
        <w:trPr>
          <w:cantSplit/>
        </w:trPr>
        <w:tc>
          <w:tcPr>
            <w:tcW w:type="dxa" w:w="198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Điều khiển HR</w:t>
            </w:r>
          </w:p>
        </w:tc>
        <w:tc>
          <w:tcPr>
            <w:tcW w:type="dxa" w:w="737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Tại 60, 80 và 120 bpm: MAE trên cửa sổ đo được ≤ 3 bpm, đồng thời tỷ lệ đo được V ≥ 95%; báo cáo riêng từng mức HR.</w:t>
            </w:r>
          </w:p>
        </w:tc>
      </w:tr>
      <w:tr>
        <w:trPr>
          <w:cantSplit/>
        </w:trPr>
        <w:tc>
          <w:tcPr>
            <w:tcW w:type="dxa" w:w="198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Hình thái và đa dạng</w:t>
            </w:r>
          </w:p>
        </w:tc>
        <w:tc>
          <w:tcPr>
            <w:tcW w:type="dxa" w:w="737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Báo cáo phân bố thời gian lên đỉnh, độ rộng xung và độ phân tán nhịp đã căn chỉnh; không chỉ minh họa bằng vài mẫu đẹp.</w:t>
            </w:r>
          </w:p>
        </w:tc>
      </w:tr>
      <w:tr>
        <w:trPr>
          <w:cantSplit/>
        </w:trPr>
        <w:tc>
          <w:tcPr>
            <w:tcW w:type="dxa" w:w="198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Tài nguyên</w:t>
            </w:r>
          </w:p>
        </w:tc>
        <w:tc>
          <w:tcPr>
            <w:tcW w:type="dxa" w:w="737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cVAE ≤ 500.000 tham số; tệp trọng số decoder FP32 ≤ 2 MB; độ trễ decoder CPU một luồng, batch 1, phân vị 95% ≤ 100 ms.</w:t>
            </w:r>
          </w:p>
        </w:tc>
      </w:tr>
      <w:tr>
        <w:trPr>
          <w:cantSplit/>
        </w:trPr>
        <w:tc>
          <w:tcPr>
            <w:tcW w:type="dxa" w:w="198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Minh bạch</w:t>
            </w:r>
          </w:p>
        </w:tc>
        <w:tc>
          <w:tcPr>
            <w:tcW w:type="dxa" w:w="737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Báo cáo mọi mẫu lỗi, độ phủ dữ liệu quanh từng HR, kết quả theo lượt chia và seed; không chuyển mục tiêu thành kết quả đã đạt.</w:t>
            </w:r>
          </w:p>
        </w:tc>
      </w:tr>
    </w:tbl>
    <w:p>
      <w:pPr>
        <w:spacing w:before="0" w:after="0" w:line="40" w:lineRule="exact"/>
      </w:pPr>
      <w:r>
        <w:rPr>
          <w:sz w:val="4"/>
        </w:rPr>
      </w:r>
    </w:p>
    <w:p>
      <w:pPr>
        <w:spacing w:before="80" w:after="140"/>
        <w:jc w:val="both"/>
        <w:shd w:fill="F1F4F8"/>
      </w:pPr>
      <w:r>
        <w:rPr>
          <w:b w:val="0"/>
          <w:i/>
          <w:sz w:val="22"/>
        </w:rPr>
        <w:t>Các ngưỡng trên là mục tiêu kỹ thuật của đề tài, không phải tiêu chuẩn y khoa hoặc hiệu năng đã được kiểm chứng. Không bắt buộc cVAE phải có MAE thấp hơn bộ sinh Gaussian; giá trị cần kiểm định là sự đánh đổi giữa độ đúng nhịp và độ đa dạng có ý nghĩa.</w:t>
      </w:r>
    </w:p>
    <w:p>
      <w:pPr>
        <w:pStyle w:val="Heading1"/>
        <w:keepNext/>
        <w:pageBreakBefore/>
      </w:pPr>
      <w:r>
        <w:t>2. TẬP DỮ LIỆU VÀ TIỀN XỬ LÝ</w:t>
      </w:r>
    </w:p>
    <w:p>
      <w:pPr>
        <w:pStyle w:val="Heading2"/>
        <w:keepNext/>
      </w:pPr>
      <w:r>
        <w:t>2.1. Đặc tả dữ liệu và nhãn</w:t>
      </w:r>
    </w:p>
    <w:p>
      <w:pPr>
        <w:jc w:val="both"/>
      </w:pPr>
      <w:r>
        <w:rPr>
          <w:b w:val="0"/>
          <w:i w:val="0"/>
        </w:rPr>
        <w:t>Sử dụng PPG-DaLiA gồm 15 người tham gia, mã S1–S15. Kênh đầu vào là BVP/PPG cổ tay 64 Hz. Nhãn HR tham chiếu được cung cấp từ ECG ngực; ECG được ghi ở 700 Hz. ACC cổ tay ba trục 32 Hz chỉ dùng để mô tả mức chuyển động hoặc kiểm tra dữ liệu, không là đầu vào của cVAE hay mạng HR phụ trợ [1], [5].</w:t>
      </w:r>
    </w:p>
    <w:p>
      <w:pPr>
        <w:jc w:val="both"/>
      </w:pPr>
      <w:r>
        <w:rPr>
          <w:b w:val="0"/>
          <w:i w:val="0"/>
        </w:rPr>
        <w:t>Con số 8,3 triệu trên trang UCI là thông tin quy mô kho dữ liệu, không được dùng thay cho số cửa sổ huấn luyện. Báo cáo số cửa sổ thực tế sau căn nhãn, kiểm tra tính hợp lệ và chia người. Nhãn HR công bố được ưu tiên sử dụng; chỉ tính lại từ ECG nếu có lý do và quy trình đối chiếu rõ ràng.</w:t>
      </w:r>
    </w:p>
    <w:p>
      <w:pPr>
        <w:jc w:val="both"/>
      </w:pPr>
      <w:r>
        <w:rPr>
          <w:b w:val="0"/>
          <w:i w:val="0"/>
        </w:rPr>
        <w:t>Đọc dữ liệu đã đồng bộ và xác minh mốc bắt đầu nhãn trong tài liệu đi kèm. Với cửa sổ 8 giây và bước 2 giây, chiều dài là 512 mẫu, bước là 128 mẫu [1]. Nếu nhãn đầu tiên khớp với vị trí s₀, cửa sổ thứ j dùng PPG[s₀ + 128j : s₀ + 128j + 512]. Không giả định nhãn HR có cùng tần số với PPG; không dịch nhãn để làm giảm sai số.</w:t>
      </w:r>
    </w:p>
    <w:p>
      <w:pPr>
        <w:pStyle w:val="Heading2"/>
        <w:keepNext/>
      </w:pPr>
      <w:r>
        <w:t>2.2. Quy trình tiền xử lý</w:t>
      </w:r>
    </w:p>
    <w:p>
      <w:pPr>
        <w:jc w:val="both"/>
      </w:pPr>
      <w:r>
        <w:rPr>
          <w:b w:val="0"/>
          <w:i w:val="0"/>
        </w:rPr>
        <w:t>Bước 1 – Chia người trước khi học bất kỳ thống kê nào. Tách train, validation (val) và test theo mục 2.3. Mỗi lượt chia có bộ thống kê chuẩn hóa, mô hình HR phụ trợ, tham số Gaussian và checkpoint riêng.</w:t>
      </w:r>
    </w:p>
    <w:p>
      <w:pPr>
        <w:jc w:val="both"/>
      </w:pPr>
      <w:r>
        <w:rPr>
          <w:b w:val="0"/>
          <w:i w:val="0"/>
        </w:rPr>
        <w:t>Bước 2 – Kiểm tra dữ liệu thô. Phát hiện NaN/Inf, đoạn thiếu, cửa sổ gần hằng và các dấu hiệu clipping. Chỉ dùng từ “bão hòa cảm biến” khi biết giới hạn đo/ADC; với BVP đã xử lý, một đoạn phẳng chỉ là dấu hiệu chất lượng cần kiểm tra. Không nội suy qua khoảng thiếu dài hoặc ghép hai đoạn rời để tạo cửa sổ.</w:t>
      </w:r>
    </w:p>
    <w:p>
      <w:pPr>
        <w:jc w:val="both"/>
      </w:pPr>
      <w:r>
        <w:rPr>
          <w:b w:val="0"/>
          <w:i w:val="0"/>
        </w:rPr>
        <w:t>Bước 3 – Lọc từng đoạn liên tục bằng Butterworth thông dải 0,5–8 Hz ở dạng SOS, với cấu hình minh định: butter(N=4, Wn=[0.5, 8], btype="bandpass", fs=64, output="sos"), sau đó sosfiltfilt. Trong SciPy, N=4 của thiết kế thông dải tạo bộ lọc một chiều bậc 8; lọc thuận–nghịch làm bình phương đáp ứng biên độ. Vì vậy không mô tả toàn bộ phép xử lý đơn giản là “lọc bậc 4” [6], [7].</w:t>
      </w:r>
    </w:p>
    <w:p>
      <w:pPr>
        <w:jc w:val="both"/>
      </w:pPr>
      <w:r>
        <w:rPr>
          <w:b w:val="0"/>
          <w:i w:val="0"/>
        </w:rPr>
        <w:t>Bước 4 – Cắt cửa sổ và giữ nguyên chỉ số nhãn. Xử lý đệm biên và vùng quá độ bằng quy tắc cố định, ghi trong cấu hình. Nếu loại cửa sổ ở biên bản ghi, giữ đúng nhãn tương ứng, không đánh lại chỉ số làm lệch thời gian. Lọc thuận–nghịch là xử lý ngoại tuyến; không gọi là lọc nhân quả thời gian thực.</w:t>
      </w:r>
    </w:p>
    <w:p>
      <w:pPr>
        <w:jc w:val="both"/>
      </w:pPr>
      <w:r>
        <w:rPr>
          <w:b w:val="0"/>
          <w:i w:val="0"/>
        </w:rPr>
        <w:t>Bước 5 – Chuẩn hóa bằng trung bình và độ lệch chuẩn chỉ ước lượng từ các điểm PPG hợp lệ của train. Ưu tiên tính trên các đoạn train trước khi nhân bản qua cửa sổ chồng lấp. Dùng cùng thống kê cho val/test; đặt ε = 10⁻⁸ để ổn định phép chia. Điều kiện c = h/60; đầu ra mạng vẫn ở đơn vị biên độ chuẩn hóa.</w:t>
      </w:r>
    </w:p>
    <w:p>
      <w:pPr>
        <w:spacing w:before="60" w:after="120"/>
        <w:jc w:val="center"/>
      </w:pPr>
      <m:oMath>
        <m:r>
          <w:rPr>
            <w:rFonts w:ascii="Cambria Math" w:hAnsi="Cambria Math"/>
            <w:sz w:val="24"/>
          </w:rPr>
          <m:t>x = </m:t>
        </m:r>
        <m:f>
          <m:num>
            <m:r>
              <w:rPr>
                <w:rFonts w:ascii="Cambria Math" w:hAnsi="Cambria Math"/>
                <w:sz w:val="24"/>
              </w:rPr>
              <m:t>u − </m:t>
            </m:r>
            <m:sSub>
              <m:e>
                <m:r>
                  <w:rPr>
                    <w:rFonts w:ascii="Cambria Math" w:hAnsi="Cambria Math"/>
                    <w:sz w:val="24"/>
                  </w:rPr>
                  <m:t>μ</m:t>
                </m:r>
              </m:e>
              <m:sub>
                <m:r>
                  <w:rPr>
                    <w:rFonts w:ascii="Cambria Math" w:hAnsi="Cambria Math"/>
                    <w:sz w:val="24"/>
                  </w:rPr>
                  <m:t>train</m:t>
                </m:r>
              </m:sub>
            </m:sSub>
          </m:num>
          <m:den>
            <m:sSub>
              <m:e>
                <m:r>
                  <w:rPr>
                    <w:rFonts w:ascii="Cambria Math" w:hAnsi="Cambria Math"/>
                    <w:sz w:val="24"/>
                  </w:rPr>
                  <m:t>σ</m:t>
                </m:r>
              </m:e>
              <m:sub>
                <m:r>
                  <w:rPr>
                    <w:rFonts w:ascii="Cambria Math" w:hAnsi="Cambria Math"/>
                    <w:sz w:val="24"/>
                  </w:rPr>
                  <m:t>train</m:t>
                </m:r>
              </m:sub>
            </m:sSub>
            <m:r>
              <w:rPr>
                <w:rFonts w:ascii="Cambria Math" w:hAnsi="Cambria Math"/>
                <w:sz w:val="24"/>
              </w:rPr>
              <m:t> + ε</m:t>
            </m:r>
          </m:den>
        </m:f>
        <m:r>
          <w:rPr>
            <w:rFonts w:ascii="Cambria Math" w:hAnsi="Cambria Math"/>
            <w:sz w:val="24"/>
          </w:rPr>
          <m:t>,    c = h/60</m:t>
        </m:r>
      </m:oMath>
      <w:r>
        <w:rPr>
          <w:sz w:val="22"/>
        </w:rPr>
        <w:t xml:space="preserve">   (1)</w:t>
      </w:r>
    </w:p>
    <w:p>
      <w:pPr>
        <w:jc w:val="both"/>
      </w:pPr>
      <w:r>
        <w:rPr>
          <w:b w:val="0"/>
          <w:i w:val="0"/>
        </w:rPr>
        <w:t>Giữ đầu vào cVAE ở miền thời gian, không dùng STFT hoặc log-mel. Ngưỡng loại mẫu được chọn bằng train/val và khóa trước test. Không loại mẫu chỉ vì bộ ước lượng HR cho sai số lớn; cách làm đó có thể thiên lệch tập đánh giá về những đoạn dễ đo.</w:t>
      </w:r>
    </w:p>
    <w:p>
      <w:pPr>
        <w:pStyle w:val="Heading2"/>
        <w:keepNext/>
        <w:pageBreakBefore/>
      </w:pPr>
      <w:r>
        <w:t>2.3. Chia dữ liệu theo đối tượng và kiểm soát rò rỉ</w:t>
      </w:r>
    </w:p>
    <w:p>
      <w:pPr>
        <w:jc w:val="both"/>
      </w:pPr>
      <w:r>
        <w:rPr>
          <w:b w:val="0"/>
          <w:i w:val="0"/>
        </w:rPr>
        <w:t>Giữ phương án 5 lượt chia của bản đề cương: G1 = {S1, S2, S3}; G2 = {S4, S5, S6}; G3 = {S7, S8, S9}; G4 = {S10, S11, S12}; G5 = {S13, S14, S15}. Lượt k dùng Gk làm test, nhóm kế tiếp theo vòng làm val, ba nhóm còn lại làm train. Đây là tỷ lệ 60/20/20 theo số người, không bảo đảm cùng tỷ lệ theo số cửa sổ.</w:t>
      </w:r>
    </w:p>
    <w:tbl>
      <w:tblPr>
        <w:tblW w:type="auto" w:w="0"/>
        <w:jc w:val="center"/>
        <w:tblLayout w:type="fixed"/>
        <w:tblLook w:firstColumn="1" w:firstRow="1" w:lastColumn="0" w:lastRow="0" w:noHBand="0" w:noVBand="1" w:val="04A0"/>
        <w:tblCaption w:val="Bảng 2 trong đề cương G2"/>
      </w:tblPr>
      <w:tblGrid>
        <w:gridCol w:w="794"/>
        <w:gridCol w:w="4139"/>
        <w:gridCol w:w="2211"/>
        <w:gridCol w:w="2211"/>
      </w:tblGrid>
      <w:tr>
        <w:trPr>
          <w:cantSplit/>
          <w:tblHeader/>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2"/>
              </w:rPr>
              <w:t>Lượt</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2"/>
              </w:rPr>
              <w:t>Train</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2"/>
              </w:rPr>
              <w:t>Val</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2"/>
              </w:rPr>
              <w:t>Test</w:t>
            </w:r>
          </w:p>
        </w:tc>
      </w:tr>
      <w:tr>
        <w:trPr>
          <w:cantSplit/>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1</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S7–S15</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S4–S6</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S1–S3</w:t>
            </w:r>
          </w:p>
        </w:tc>
      </w:tr>
      <w:tr>
        <w:trPr>
          <w:cantSplit/>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2</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S1–S3; S10–S15</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S7–S9</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S4–S6</w:t>
            </w:r>
          </w:p>
        </w:tc>
      </w:tr>
      <w:tr>
        <w:trPr>
          <w:cantSplit/>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3</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S1–S6; S13–S15</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S10–S12</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S7–S9</w:t>
            </w:r>
          </w:p>
        </w:tc>
      </w:tr>
      <w:tr>
        <w:trPr>
          <w:cantSplit/>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4</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S1–S9</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S13–S15</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S10–S12</w:t>
            </w:r>
          </w:p>
        </w:tc>
      </w:tr>
      <w:tr>
        <w:trPr>
          <w:cantSplit/>
        </w:trPr>
        <w:tc>
          <w:tcPr>
            <w:tcW w:type="dxa" w:w="79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5</w:t>
            </w:r>
          </w:p>
        </w:tc>
        <w:tc>
          <w:tcPr>
            <w:tcW w:type="dxa" w:w="4139"/>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S4–S12</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S1–S3</w:t>
            </w:r>
          </w:p>
        </w:tc>
        <w:tc>
          <w:tcPr>
            <w:tcW w:type="dxa" w:w="221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2"/>
              </w:rPr>
              <w:t>S13–S15</w:t>
            </w:r>
          </w:p>
        </w:tc>
      </w:tr>
    </w:tbl>
    <w:p>
      <w:pPr>
        <w:spacing w:before="0" w:after="0" w:line="40" w:lineRule="exact"/>
      </w:pPr>
      <w:r>
        <w:rPr>
          <w:sz w:val="4"/>
        </w:rPr>
      </w:r>
    </w:p>
    <w:p>
      <w:pPr>
        <w:jc w:val="both"/>
      </w:pPr>
      <w:r>
        <w:rPr>
          <w:b w:val="0"/>
          <w:i w:val="0"/>
        </w:rPr>
        <w:t>Mọi mô hình và đối chứng trong một lượt phải dùng cùng danh sách cửa sổ hợp lệ. Dữ liệu của một người không được xuất hiện trong nhiều tập của cùng lượt. Một người có thể xuất hiện trong train ở lượt khác theo thiết kế kiểm định chéo; vì vậy không coi 5 lượt là 5 bộ dữ liệu độc lập.</w:t>
      </w:r>
    </w:p>
    <w:p>
      <w:pPr>
        <w:jc w:val="both"/>
      </w:pPr>
      <w:r>
        <w:rPr>
          <w:b w:val="0"/>
          <w:i w:val="0"/>
        </w:rPr>
        <w:t>Chốt trước tập cấu hình ứng viên và quy tắc lựa chọn. Chỉ dùng train/val của lượt đang xét để huấn luyện, chọn tham số hoặc checkpoint cho lượt đó. Không dùng kết quả test của một lượt để sửa quy trình cho các lượt còn lại. Test chỉ được chạy sau khi toàn bộ quy trình đánh giá đã được cố định.</w:t>
      </w:r>
    </w:p>
    <w:p>
      <w:pPr>
        <w:pStyle w:val="Heading3"/>
        <w:keepNext/>
      </w:pPr>
      <w:r>
        <w:t>Hồ sơ dữ liệu cần lưu</w:t>
      </w:r>
    </w:p>
    <w:p>
      <w:pPr>
        <w:jc w:val="both"/>
      </w:pPr>
      <w:r>
        <w:rPr>
          <w:b w:val="0"/>
          <w:i w:val="0"/>
        </w:rPr>
        <w:t>Mỗi cửa sổ có subject_id, fold_id, split, chỉ số bắt đầu/kết thúc, thời gian bắt đầu, HR tham chiếu, cờ hợp lệ và lý do loại. Lưu kèm phiên bản dữ liệu, quy tắc lọc, thống kê chuẩn hóa và hạt giống lấy mẫu. Kiểm tra tự động giao các tập subject_id phải rỗng trong từng lượt; kiểm tra số cửa sổ và số nhãn phải khớp.</w:t>
      </w:r>
    </w:p>
    <w:tbl>
      <w:tblPr>
        <w:tblW w:type="auto" w:w="0"/>
        <w:jc w:val="center"/>
        <w:tblLayout w:type="fixed"/>
        <w:tblLook w:firstColumn="1" w:firstRow="1" w:lastColumn="0" w:lastRow="0" w:noHBand="0" w:noVBand="1" w:val="04A0"/>
        <w:tblCaption w:val="Bảng 3 trong đề cương G2"/>
      </w:tblPr>
      <w:tblGrid>
        <w:gridCol w:w="3572"/>
        <w:gridCol w:w="5783"/>
      </w:tblGrid>
      <w:tr>
        <w:trPr>
          <w:cantSplit/>
          <w:tblHeader/>
        </w:trPr>
        <w:tc>
          <w:tcPr>
            <w:tcW w:type="dxa" w:w="35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Thống kê bắt buộc</w:t>
            </w:r>
          </w:p>
        </w:tc>
        <w:tc>
          <w:tcPr>
            <w:tcW w:type="dxa" w:w="578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Mục đích</w:t>
            </w:r>
          </w:p>
        </w:tc>
      </w:tr>
      <w:tr>
        <w:trPr>
          <w:cantSplit/>
        </w:trPr>
        <w:tc>
          <w:tcPr>
            <w:tcW w:type="dxa" w:w="35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Số người, số cửa sổ trước/sau xử lý theo split</w:t>
            </w:r>
          </w:p>
        </w:tc>
        <w:tc>
          <w:tcPr>
            <w:tcW w:type="dxa" w:w="578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Tránh nhầm tổng số điểm đo với số mẫu học; theo dõi mất dữ liệu.</w:t>
            </w:r>
          </w:p>
        </w:tc>
      </w:tr>
      <w:tr>
        <w:trPr>
          <w:cantSplit/>
        </w:trPr>
        <w:tc>
          <w:tcPr>
            <w:tcW w:type="dxa" w:w="35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HR nhỏ nhất/lớn nhất và số mẫu theo dải 20 bpm</w:t>
            </w:r>
          </w:p>
        </w:tc>
        <w:tc>
          <w:tcPr>
            <w:tcW w:type="dxa" w:w="578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Xác định vùng được dữ liệu hỗ trợ và vùng dữ liệu thưa.</w:t>
            </w:r>
          </w:p>
        </w:tc>
      </w:tr>
      <w:tr>
        <w:trPr>
          <w:cantSplit/>
        </w:trPr>
        <w:tc>
          <w:tcPr>
            <w:tcW w:type="dxa" w:w="35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Số người và số cửa sổ quanh 60/80/120 bpm (±10 bpm)</w:t>
            </w:r>
          </w:p>
        </w:tc>
        <w:tc>
          <w:tcPr>
            <w:tcW w:type="dxa" w:w="578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Không kết luận 120 bpm là ngoại suy khi chưa kiểm tra train; cũng không mặc định mọi mức HR đều đủ dữ liệu.</w:t>
            </w:r>
          </w:p>
        </w:tc>
      </w:tr>
      <w:tr>
        <w:trPr>
          <w:cantSplit/>
        </w:trPr>
        <w:tc>
          <w:tcPr>
            <w:tcW w:type="dxa" w:w="35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Tỷ lệ loại theo nguyên nhân và mức chuyển động</w:t>
            </w:r>
          </w:p>
        </w:tc>
        <w:tc>
          <w:tcPr>
            <w:tcW w:type="dxa" w:w="578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Nhận diện thiên lệch chọn mẫu; không đồng nhất ít chuyển động với nhãn PPG sạch.</w:t>
            </w:r>
          </w:p>
        </w:tc>
      </w:tr>
    </w:tbl>
    <w:p>
      <w:pPr>
        <w:spacing w:before="0" w:after="0" w:line="40" w:lineRule="exact"/>
      </w:pPr>
      <w:r>
        <w:rPr>
          <w:sz w:val="4"/>
        </w:rPr>
      </w:r>
    </w:p>
    <w:p>
      <w:pPr>
        <w:jc w:val="both"/>
      </w:pPr>
      <w:r>
        <w:rPr>
          <w:b w:val="0"/>
          <w:i w:val="0"/>
        </w:rPr>
        <w:t>HR ngoài khoảng train là ngoại suy theo điều kiện; HR trong khoảng nhưng ít người hoặc ít mẫu lân cận là vùng hỗ trợ thưa. Xác lập trạng thái theo từng lượt, không suy từ thống kê chung của 15 người.</w:t>
      </w:r>
    </w:p>
    <w:p>
      <w:pPr>
        <w:spacing w:before="80" w:after="140"/>
        <w:jc w:val="both"/>
        <w:shd w:fill="F1F4F8"/>
      </w:pPr>
      <w:r>
        <w:rPr>
          <w:b w:val="0"/>
          <w:i/>
          <w:sz w:val="22"/>
        </w:rPr>
        <w:t>PPG-DaLiA không tự cung cấp bằng chứng rằng mọi cửa sổ sau lọc đều là PPG sạch. Trong đề tài này, “hợp lệ” chỉ là qua các kiểm tra kỹ thuật đã nêu; không thay thế nhãn chất lượng độc lập hoặc kết luận sinh lý.</w:t>
      </w:r>
    </w:p>
    <w:p>
      <w:pPr>
        <w:pStyle w:val="Heading1"/>
        <w:keepNext/>
        <w:pageBreakBefore/>
      </w:pPr>
      <w:r>
        <w:t>3. PHƯƠNG PHÁP ĐỀ XUẤT</w:t>
      </w:r>
    </w:p>
    <w:p>
      <w:pPr>
        <w:pStyle w:val="Heading2"/>
        <w:keepNext/>
      </w:pPr>
      <w:r>
        <w:t>3.1. Kiến trúc 1D-cVAE và kích thước tensor</w:t>
      </w:r>
    </w:p>
    <w:p>
      <w:pPr>
        <w:jc w:val="both"/>
      </w:pPr>
      <w:r>
        <w:rPr>
          <w:b w:val="0"/>
          <w:i w:val="0"/>
        </w:rPr>
        <w:t>Giữ kiến trúc trong Hình 1 của bản gốc. Điều kiện c được lặp theo chiều thời gian rồi ghép với x tại encoder; tại decoder, c được ghép với z. Tầng ẩn dùng ReLU, tầng ra tuyến tính; không thêm skip connection từ tín hiệu thật đến decoder. Cách biểu diễn này phù hợp với đầu ra đã chuẩn hóa Z-score [2], [3].</w:t>
      </w:r>
    </w:p>
    <w:p>
      <w:pPr>
        <w:jc w:val="center"/>
      </w:pPr>
      <w:r>
        <w:drawing>
          <wp:inline xmlns:a="http://schemas.openxmlformats.org/drawingml/2006/main" xmlns:pic="http://schemas.openxmlformats.org/drawingml/2006/picture">
            <wp:extent cx="5903999" cy="3685527"/>
            <wp:docPr id="2" name="Picture 2" descr="Kiến trúc encoder và decoder 1D-cVAE, điều kiện HR và latent 16 chiều"/>
            <wp:cNvGraphicFramePr>
              <a:graphicFrameLocks noChangeAspect="1"/>
            </wp:cNvGraphicFramePr>
            <a:graphic>
              <a:graphicData uri="http://schemas.openxmlformats.org/drawingml/2006/picture">
                <pic:pic>
                  <pic:nvPicPr>
                    <pic:cNvPr id="0" name="inline_1.png"/>
                    <pic:cNvPicPr/>
                  </pic:nvPicPr>
                  <pic:blipFill>
                    <a:blip r:embed="rId12"/>
                    <a:stretch>
                      <a:fillRect/>
                    </a:stretch>
                  </pic:blipFill>
                  <pic:spPr>
                    <a:xfrm>
                      <a:off x="0" y="0"/>
                      <a:ext cx="5903999" cy="3685527"/>
                    </a:xfrm>
                    <a:prstGeom prst="rect"/>
                  </pic:spPr>
                </pic:pic>
              </a:graphicData>
            </a:graphic>
          </wp:inline>
        </w:drawing>
      </w:r>
    </w:p>
    <w:p>
      <w:pPr>
        <w:pStyle w:val="Caption"/>
        <w:jc w:val="center"/>
      </w:pPr>
      <w:r>
        <w:rPr>
          <w:b w:val="0"/>
          <w:i w:val="0"/>
        </w:rPr>
        <w:t>Hình 1. Kiến trúc 1D-cVAE giữ từ bản gốc; kích thước tensor đã đối chiếu.</w:t>
        <w:br/>
        <w:t>Khối HR cuối hình chỉ là đánh giá, không phải lớp sinh tín hiệu.</w:t>
      </w:r>
    </w:p>
    <w:tbl>
      <w:tblPr>
        <w:tblW w:type="auto" w:w="0"/>
        <w:jc w:val="center"/>
        <w:tblLayout w:type="fixed"/>
        <w:tblLook w:firstColumn="1" w:firstRow="1" w:lastColumn="0" w:lastRow="0" w:noHBand="0" w:noVBand="1" w:val="04A0"/>
        <w:tblCaption w:val="Bảng 4 trong đề cương G2"/>
      </w:tblPr>
      <w:tblGrid>
        <w:gridCol w:w="1757"/>
        <w:gridCol w:w="6123"/>
        <w:gridCol w:w="1474"/>
      </w:tblGrid>
      <w:tr>
        <w:trPr>
          <w:cantSplit/>
          <w:tblHeader/>
        </w:trPr>
        <w:tc>
          <w:tcPr>
            <w:tcW w:type="dxa" w:w="1757"/>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Khối</w:t>
            </w:r>
          </w:p>
        </w:tc>
        <w:tc>
          <w:tcPr>
            <w:tcW w:type="dxa" w:w="612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Cấu hình / kích thước</w:t>
            </w:r>
          </w:p>
        </w:tc>
        <w:tc>
          <w:tcPr>
            <w:tcW w:type="dxa" w:w="147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Tham số</w:t>
            </w:r>
          </w:p>
        </w:tc>
      </w:tr>
      <w:tr>
        <w:trPr>
          <w:cantSplit/>
        </w:trPr>
        <w:tc>
          <w:tcPr>
            <w:tcW w:type="dxa" w:w="1757"/>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Encoder</w:t>
            </w:r>
          </w:p>
        </w:tc>
        <w:tc>
          <w:tcPr>
            <w:tcW w:type="dxa" w:w="612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Conv 2→16→32→64; k=7, s=2, p=3;</w:t>
              <w:br/>
              <w:t>512→256→128→64; Dense 4096→64; hai nhánh 64→16.</w:t>
            </w:r>
          </w:p>
        </w:tc>
        <w:tc>
          <w:tcPr>
            <w:tcW w:type="dxa" w:w="147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282.544</w:t>
            </w:r>
          </w:p>
        </w:tc>
      </w:tr>
      <w:tr>
        <w:trPr>
          <w:cantSplit/>
        </w:trPr>
        <w:tc>
          <w:tcPr>
            <w:tcW w:type="dxa" w:w="1757"/>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Decoder</w:t>
            </w:r>
          </w:p>
        </w:tc>
        <w:tc>
          <w:tcPr>
            <w:tcW w:type="dxa" w:w="612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Dense 17→4096; reshape 64×64; ConvTranspose 64→32→16→1; k=4, s=2, p=1, output_padding=0.</w:t>
            </w:r>
          </w:p>
        </w:tc>
        <w:tc>
          <w:tcPr>
            <w:tcW w:type="dxa" w:w="147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84.081</w:t>
            </w:r>
          </w:p>
        </w:tc>
      </w:tr>
      <w:tr>
        <w:trPr>
          <w:cantSplit/>
        </w:trPr>
        <w:tc>
          <w:tcPr>
            <w:tcW w:type="dxa" w:w="1757"/>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Toàn bộ cVAE</w:t>
            </w:r>
          </w:p>
        </w:tc>
        <w:tc>
          <w:tcPr>
            <w:tcW w:type="dxa" w:w="612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Latent d=16; bias=True; không có BatchNorm.</w:t>
            </w:r>
          </w:p>
        </w:tc>
        <w:tc>
          <w:tcPr>
            <w:tcW w:type="dxa" w:w="147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366.625</w:t>
            </w:r>
          </w:p>
        </w:tc>
      </w:tr>
      <w:tr>
        <w:trPr>
          <w:cantSplit/>
        </w:trPr>
        <w:tc>
          <w:tcPr>
            <w:tcW w:type="dxa" w:w="1757"/>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Mạng HR phụ trợ</w:t>
            </w:r>
          </w:p>
        </w:tc>
        <w:tc>
          <w:tcPr>
            <w:tcW w:type="dxa" w:w="612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Conv một kênh 1→16→32→64, GAP, Dense 64→1. Không cần khi sinh sau triển khai.</w:t>
            </w:r>
          </w:p>
        </w:tc>
        <w:tc>
          <w:tcPr>
            <w:tcW w:type="dxa" w:w="147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18.209</w:t>
            </w:r>
          </w:p>
        </w:tc>
      </w:tr>
    </w:tbl>
    <w:p>
      <w:pPr>
        <w:spacing w:before="0" w:after="0" w:line="40" w:lineRule="exact"/>
      </w:pPr>
      <w:r>
        <w:rPr>
          <w:sz w:val="4"/>
        </w:rPr>
      </w:r>
    </w:p>
    <w:p>
      <w:pPr>
        <w:jc w:val="both"/>
      </w:pPr>
      <w:r>
        <w:rPr>
          <w:b w:val="0"/>
          <w:i w:val="0"/>
        </w:rPr>
        <w:t>Các số trên là phép đếm theo đặc tả kiến trúc, không phải kết quả huấn luyện. Tổng cVAE và mạng phụ trợ là 384.834 tham số. Dữ liệu trọng số decoder FP32 thuần có 84.081 × 4 = 336.324 byte, khoảng 0,336 MB; tệp lưu thực tế có thể lớn hơn vì metadata. Khi d = 8 hoặc 32, phải đổi kích thước hai nhánh latent và đầu vào Dense decoder tương ứng.</w:t>
      </w:r>
    </w:p>
    <w:p>
      <w:pPr>
        <w:pStyle w:val="Heading2"/>
        <w:keepNext/>
        <w:pageBreakBefore/>
      </w:pPr>
      <w:r>
        <w:t>3.2. Cơ chế mã hóa, tái tạo và sinh có điều kiện</w:t>
      </w:r>
    </w:p>
    <w:p>
      <w:pPr>
        <w:jc w:val="both"/>
      </w:pPr>
      <w:r>
        <w:rPr>
          <w:b w:val="0"/>
          <w:i w:val="0"/>
        </w:rPr>
        <w:t>Encoder trả về μφ(x,c) và sφ(x,c) = log σ². Posterior được mô hình hóa bằng Gaussian với ma trận hiệp phương sai đường chéo. Prior cố định là p(z) = N(0,I), không phụ thuộc h. Đây là một lựa chọn thiết kế hợp lệ; không mô tả prior này như một mạng prior học theo điều kiện.</w:t>
      </w:r>
    </w:p>
    <w:p>
      <w:pPr>
        <w:spacing w:before="60" w:after="120"/>
        <w:jc w:val="center"/>
      </w:pPr>
      <m:oMath>
        <m:sSub>
          <m:e>
            <m:r>
              <w:rPr>
                <w:rFonts w:ascii="Cambria Math" w:hAnsi="Cambria Math"/>
                <w:sz w:val="24"/>
              </w:rPr>
              <m:t>q</m:t>
            </m:r>
          </m:e>
          <m:sub>
            <m:r>
              <w:rPr>
                <w:rFonts w:ascii="Cambria Math" w:hAnsi="Cambria Math"/>
                <w:sz w:val="24"/>
              </w:rPr>
              <m:t>φ</m:t>
            </m:r>
          </m:sub>
        </m:sSub>
        <m:r>
          <w:rPr>
            <w:rFonts w:ascii="Cambria Math" w:hAnsi="Cambria Math"/>
            <w:sz w:val="24"/>
          </w:rPr>
          <m:t>(z∣x,c) = N(μ, diag(exp(s))),    p(z) = N(0,I)</m:t>
        </m:r>
      </m:oMath>
      <w:r>
        <w:rPr>
          <w:sz w:val="22"/>
        </w:rPr>
        <w:t xml:space="preserve">   (2)</w:t>
      </w:r>
    </w:p>
    <w:p>
      <w:pPr>
        <w:spacing w:before="60" w:after="120"/>
        <w:jc w:val="center"/>
      </w:pPr>
      <m:oMath>
        <m:sSub>
          <m:e>
            <m:r>
              <w:rPr>
                <w:rFonts w:ascii="Cambria Math" w:hAnsi="Cambria Math"/>
                <w:sz w:val="24"/>
              </w:rPr>
              <m:t>z</m:t>
            </m:r>
          </m:e>
          <m:sub>
            <m:r>
              <w:rPr>
                <w:rFonts w:ascii="Cambria Math" w:hAnsi="Cambria Math"/>
                <w:sz w:val="24"/>
              </w:rPr>
              <m:t>post</m:t>
            </m:r>
          </m:sub>
        </m:sSub>
        <m:r>
          <w:rPr>
            <w:rFonts w:ascii="Cambria Math" w:hAnsi="Cambria Math"/>
            <w:sz w:val="24"/>
          </w:rPr>
          <m:t> = μ + exp(s/2) ⊙ ε,    ε ∼ N(0,I)</m:t>
        </m:r>
      </m:oMath>
      <w:r>
        <w:rPr>
          <w:sz w:val="22"/>
        </w:rPr>
        <w:t xml:space="preserve">   (3)</w:t>
      </w:r>
    </w:p>
    <w:p>
      <w:pPr>
        <w:spacing w:before="60" w:after="120"/>
        <w:jc w:val="center"/>
      </w:pPr>
      <m:oMath>
        <m:acc>
          <m:accPr>
            <m:chr m:val="̂"/>
          </m:accPr>
          <m:e>
            <m:r>
              <w:rPr>
                <w:rFonts w:ascii="Cambria Math" w:hAnsi="Cambria Math"/>
                <w:sz w:val="24"/>
              </w:rPr>
              <m:t>x</m:t>
            </m:r>
          </m:e>
        </m:acc>
        <m:r>
          <w:rPr>
            <w:rFonts w:ascii="Cambria Math" w:hAnsi="Cambria Math"/>
            <w:sz w:val="24"/>
          </w:rPr>
          <m:t> = </m:t>
        </m:r>
        <m:sSub>
          <m:e>
            <m:r>
              <w:rPr>
                <w:rFonts w:ascii="Cambria Math" w:hAnsi="Cambria Math"/>
                <w:sz w:val="24"/>
              </w:rPr>
              <m:t>D</m:t>
            </m:r>
          </m:e>
          <m:sub>
            <m:r>
              <w:rPr>
                <w:rFonts w:ascii="Cambria Math" w:hAnsi="Cambria Math"/>
                <w:sz w:val="24"/>
              </w:rPr>
              <m:t>θ</m:t>
            </m:r>
          </m:sub>
        </m:sSub>
        <m:r>
          <w:rPr>
            <w:rFonts w:ascii="Cambria Math" w:hAnsi="Cambria Math"/>
            <w:sz w:val="24"/>
          </w:rPr>
          <m:t>(</m:t>
        </m:r>
        <m:sSub>
          <m:e>
            <m:r>
              <w:rPr>
                <w:rFonts w:ascii="Cambria Math" w:hAnsi="Cambria Math"/>
                <w:sz w:val="24"/>
              </w:rPr>
              <m:t>z</m:t>
            </m:r>
          </m:e>
          <m:sub>
            <m:r>
              <w:rPr>
                <w:rFonts w:ascii="Cambria Math" w:hAnsi="Cambria Math"/>
                <w:sz w:val="24"/>
              </w:rPr>
              <m:t>post</m:t>
            </m:r>
          </m:sub>
        </m:sSub>
        <m:r>
          <w:rPr>
            <w:rFonts w:ascii="Cambria Math" w:hAnsi="Cambria Math"/>
            <w:sz w:val="24"/>
          </w:rPr>
          <m:t>,c),    </m:t>
        </m:r>
        <m:acc>
          <m:accPr>
            <m:chr m:val="̃"/>
          </m:accPr>
          <m:e>
            <m:r>
              <w:rPr>
                <w:rFonts w:ascii="Cambria Math" w:hAnsi="Cambria Math"/>
                <w:sz w:val="24"/>
              </w:rPr>
              <m:t>x</m:t>
            </m:r>
          </m:e>
        </m:acc>
        <m:r>
          <w:rPr>
            <w:rFonts w:ascii="Cambria Math" w:hAnsi="Cambria Math"/>
            <w:sz w:val="24"/>
          </w:rPr>
          <m:t> = </m:t>
        </m:r>
        <m:sSub>
          <m:e>
            <m:r>
              <w:rPr>
                <w:rFonts w:ascii="Cambria Math" w:hAnsi="Cambria Math"/>
                <w:sz w:val="24"/>
              </w:rPr>
              <m:t>D</m:t>
            </m:r>
          </m:e>
          <m:sub>
            <m:r>
              <w:rPr>
                <w:rFonts w:ascii="Cambria Math" w:hAnsi="Cambria Math"/>
                <w:sz w:val="24"/>
              </w:rPr>
              <m:t>θ</m:t>
            </m:r>
          </m:sub>
        </m:sSub>
        <m:r>
          <w:rPr>
            <w:rFonts w:ascii="Cambria Math" w:hAnsi="Cambria Math"/>
            <w:sz w:val="24"/>
          </w:rPr>
          <m:t>(</m:t>
        </m:r>
        <m:sSub>
          <m:e>
            <m:r>
              <w:rPr>
                <w:rFonts w:ascii="Cambria Math" w:hAnsi="Cambria Math"/>
                <w:sz w:val="24"/>
              </w:rPr>
              <m:t>z</m:t>
            </m:r>
          </m:e>
          <m:sub>
            <m:r>
              <w:rPr>
                <w:rFonts w:ascii="Cambria Math" w:hAnsi="Cambria Math"/>
                <w:sz w:val="24"/>
              </w:rPr>
              <m:t>prior</m:t>
            </m:r>
          </m:sub>
        </m:sSub>
        <m:r>
          <w:rPr>
            <w:rFonts w:ascii="Cambria Math" w:hAnsi="Cambria Math"/>
            <w:sz w:val="24"/>
          </w:rPr>
          <m:t>,c)</m:t>
        </m:r>
      </m:oMath>
      <w:r>
        <w:rPr>
          <w:sz w:val="22"/>
        </w:rPr>
        <w:t xml:space="preserve">   (4)</w:t>
      </w:r>
    </w:p>
    <w:p>
      <w:pPr>
        <w:jc w:val="both"/>
      </w:pPr>
      <w:r>
        <w:rPr>
          <w:b w:val="0"/>
          <w:i w:val="0"/>
        </w:rPr>
        <w:t>Trong đó x̂ là tái tạo từ posterior, còn x̃ là mẫu sinh tự do với zprior ∼ N(0,I). Không dùng hai ký hiệu thay thế nhau khi viết loss và báo cáo kết quả. Khi kiểm thử sinh, encoder hoàn toàn không tham gia. Khi kiểm thử tái tạo, dùng z = μ để giảm biến thiên do lấy mẫu và ghi rõ cách tính.</w:t>
      </w:r>
    </w:p>
    <w:p>
      <w:pPr>
        <w:jc w:val="both"/>
      </w:pPr>
      <w:r>
        <w:rPr>
          <w:b w:val="0"/>
          <w:i w:val="0"/>
        </w:rPr>
        <w:t>Kiểm tra điều kiện bằng cách giữ z cố định rồi thay h; kiểm tra đa dạng bằng cách giữ h cố định rồi thay z. Những phép thử này chỉ là bằng chứng thực nghiệm về đáp ứng của mô hình, không tự bảo đảm latent đã được phân tách hoàn toàn hoặc chứa thông tin hình thái sinh lý.</w:t>
      </w:r>
    </w:p>
    <w:p>
      <w:pPr>
        <w:pStyle w:val="Heading2"/>
        <w:keepNext/>
      </w:pPr>
      <w:r>
        <w:t>3.3. Hàm mất mát và tối ưu hóa</w:t>
      </w:r>
    </w:p>
    <w:p>
      <w:pPr>
        <w:jc w:val="both"/>
      </w:pPr>
      <w:r>
        <w:rPr>
          <w:b w:val="0"/>
          <w:i w:val="0"/>
        </w:rPr>
        <w:t>Với N = 512 và d = 16, các loss được tính trên từng cửa sổ rồi lấy trung bình theo batch. Giữ quy ước KL chia cho d của bản gốc; phải ghi rõ quy ước này vì β không thể so sánh trực tiếp với các triển khai dùng tổng KL không chuẩn hóa.</w:t>
      </w:r>
    </w:p>
    <w:p>
      <w:pPr>
        <w:spacing w:before="60" w:after="120"/>
        <w:jc w:val="center"/>
      </w:pPr>
      <m:oMath>
        <m:sSub>
          <m:e>
            <m:r>
              <w:rPr>
                <w:rFonts w:ascii="Cambria Math" w:hAnsi="Cambria Math"/>
                <w:sz w:val="24"/>
              </w:rPr>
              <m:t>L</m:t>
            </m:r>
          </m:e>
          <m:sub>
            <m:r>
              <w:rPr>
                <w:rFonts w:ascii="Cambria Math" w:hAnsi="Cambria Math"/>
                <w:sz w:val="24"/>
              </w:rPr>
              <m:t>rec</m:t>
            </m:r>
          </m:sub>
        </m:sSub>
        <m:r>
          <w:rPr>
            <w:rFonts w:ascii="Cambria Math" w:hAnsi="Cambria Math"/>
            <w:sz w:val="24"/>
          </w:rPr>
          <m:t> = </m:t>
        </m:r>
        <m:f>
          <m:num>
            <m:r>
              <w:rPr>
                <w:rFonts w:ascii="Cambria Math" w:hAnsi="Cambria Math"/>
                <w:sz w:val="24"/>
              </w:rPr>
              <m:t>1</m:t>
            </m:r>
          </m:num>
          <m:den>
            <m:r>
              <w:rPr>
                <w:rFonts w:ascii="Cambria Math" w:hAnsi="Cambria Math"/>
                <w:sz w:val="24"/>
              </w:rPr>
              <m:t>N</m:t>
            </m:r>
          </m:den>
        </m:f>
        <m:sSub>
          <m:e>
            <m:r>
              <w:rPr>
                <w:rFonts w:ascii="Cambria Math" w:hAnsi="Cambria Math"/>
                <w:sz w:val="24"/>
              </w:rPr>
              <m:t>Σ</m:t>
            </m:r>
          </m:e>
          <m:sub>
            <m:r>
              <w:rPr>
                <w:rFonts w:ascii="Cambria Math" w:hAnsi="Cambria Math"/>
                <w:sz w:val="24"/>
              </w:rPr>
              <m:t>i=1…N</m:t>
            </m:r>
          </m:sub>
        </m:sSub>
        <m:sSup>
          <m:e>
            <m:r>
              <w:rPr>
                <w:rFonts w:ascii="Cambria Math" w:hAnsi="Cambria Math"/>
                <w:sz w:val="24"/>
              </w:rPr>
              <m:t>(</m:t>
            </m:r>
            <m:sSub>
              <m:e>
                <m:r>
                  <w:rPr>
                    <w:rFonts w:ascii="Cambria Math" w:hAnsi="Cambria Math"/>
                    <w:sz w:val="24"/>
                  </w:rPr>
                  <m:t>x</m:t>
                </m:r>
              </m:e>
              <m:sub>
                <m:r>
                  <w:rPr>
                    <w:rFonts w:ascii="Cambria Math" w:hAnsi="Cambria Math"/>
                    <w:sz w:val="24"/>
                  </w:rPr>
                  <m:t>i</m:t>
                </m:r>
              </m:sub>
            </m:sSub>
            <m:r>
              <w:rPr>
                <w:rFonts w:ascii="Cambria Math" w:hAnsi="Cambria Math"/>
                <w:sz w:val="24"/>
              </w:rPr>
              <m:t> − </m:t>
            </m:r>
            <m:sSub>
              <m:e>
                <m:acc>
                  <m:accPr>
                    <m:chr m:val="̂"/>
                  </m:accPr>
                  <m:e>
                    <m:r>
                      <w:rPr>
                        <w:rFonts w:ascii="Cambria Math" w:hAnsi="Cambria Math"/>
                        <w:sz w:val="24"/>
                      </w:rPr>
                      <m:t>x</m:t>
                    </m:r>
                  </m:e>
                </m:acc>
              </m:e>
              <m:sub>
                <m:r>
                  <w:rPr>
                    <w:rFonts w:ascii="Cambria Math" w:hAnsi="Cambria Math"/>
                    <w:sz w:val="24"/>
                  </w:rPr>
                  <m:t>i</m:t>
                </m:r>
              </m:sub>
            </m:sSub>
            <m:r>
              <w:rPr>
                <w:rFonts w:ascii="Cambria Math" w:hAnsi="Cambria Math"/>
                <w:sz w:val="24"/>
              </w:rPr>
              <m:t>)</m:t>
            </m:r>
          </m:e>
          <m:sup>
            <m:r>
              <w:rPr>
                <w:rFonts w:ascii="Cambria Math" w:hAnsi="Cambria Math"/>
                <w:sz w:val="24"/>
              </w:rPr>
              <m:t>2</m:t>
            </m:r>
          </m:sup>
        </m:sSup>
      </m:oMath>
      <w:r>
        <w:rPr>
          <w:sz w:val="22"/>
        </w:rPr>
        <w:t xml:space="preserve">   (5)</w:t>
      </w:r>
    </w:p>
    <w:p>
      <w:pPr>
        <w:spacing w:before="60" w:after="120"/>
        <w:jc w:val="center"/>
      </w:pPr>
      <m:oMath>
        <m:sSub>
          <m:e>
            <m:r>
              <w:rPr>
                <w:rFonts w:ascii="Cambria Math" w:hAnsi="Cambria Math"/>
                <w:sz w:val="24"/>
              </w:rPr>
              <m:t>L</m:t>
            </m:r>
          </m:e>
          <m:sub>
            <m:r>
              <w:rPr>
                <w:rFonts w:ascii="Cambria Math" w:hAnsi="Cambria Math"/>
                <w:sz w:val="24"/>
              </w:rPr>
              <m:t>KL</m:t>
            </m:r>
          </m:sub>
        </m:sSub>
        <m:r>
          <w:rPr>
            <w:rFonts w:ascii="Cambria Math" w:hAnsi="Cambria Math"/>
            <w:sz w:val="24"/>
          </w:rPr>
          <m:t> = </m:t>
        </m:r>
        <m:f>
          <m:num>
            <m:r>
              <w:rPr>
                <w:rFonts w:ascii="Cambria Math" w:hAnsi="Cambria Math"/>
                <w:sz w:val="24"/>
              </w:rPr>
              <m:t>1</m:t>
            </m:r>
          </m:num>
          <m:den>
            <m:r>
              <w:rPr>
                <w:rFonts w:ascii="Cambria Math" w:hAnsi="Cambria Math"/>
                <w:sz w:val="24"/>
              </w:rPr>
              <m:t>2d</m:t>
            </m:r>
          </m:den>
        </m:f>
        <m:sSub>
          <m:e>
            <m:r>
              <w:rPr>
                <w:rFonts w:ascii="Cambria Math" w:hAnsi="Cambria Math"/>
                <w:sz w:val="24"/>
              </w:rPr>
              <m:t>Σ</m:t>
            </m:r>
          </m:e>
          <m:sub>
            <m:r>
              <w:rPr>
                <w:rFonts w:ascii="Cambria Math" w:hAnsi="Cambria Math"/>
                <w:sz w:val="24"/>
              </w:rPr>
              <m:t>r=1…d</m:t>
            </m:r>
          </m:sub>
        </m:sSub>
        <m:r>
          <w:rPr>
            <w:rFonts w:ascii="Cambria Math" w:hAnsi="Cambria Math"/>
            <w:sz w:val="24"/>
          </w:rPr>
          <m:t>(</m:t>
        </m:r>
        <m:sSup>
          <m:e>
            <m:sSub>
              <m:e>
                <m:r>
                  <w:rPr>
                    <w:rFonts w:ascii="Cambria Math" w:hAnsi="Cambria Math"/>
                    <w:sz w:val="24"/>
                  </w:rPr>
                  <m:t>μ</m:t>
                </m:r>
              </m:e>
              <m:sub>
                <m:r>
                  <w:rPr>
                    <w:rFonts w:ascii="Cambria Math" w:hAnsi="Cambria Math"/>
                    <w:sz w:val="24"/>
                  </w:rPr>
                  <m:t>r</m:t>
                </m:r>
              </m:sub>
            </m:sSub>
          </m:e>
          <m:sup>
            <m:r>
              <w:rPr>
                <w:rFonts w:ascii="Cambria Math" w:hAnsi="Cambria Math"/>
                <w:sz w:val="24"/>
              </w:rPr>
              <m:t>2</m:t>
            </m:r>
          </m:sup>
        </m:sSup>
        <m:r>
          <w:rPr>
            <w:rFonts w:ascii="Cambria Math" w:hAnsi="Cambria Math"/>
            <w:sz w:val="24"/>
          </w:rPr>
          <m:t> + exp(</m:t>
        </m:r>
        <m:sSub>
          <m:e>
            <m:r>
              <w:rPr>
                <w:rFonts w:ascii="Cambria Math" w:hAnsi="Cambria Math"/>
                <w:sz w:val="24"/>
              </w:rPr>
              <m:t>s</m:t>
            </m:r>
          </m:e>
          <m:sub>
            <m:r>
              <w:rPr>
                <w:rFonts w:ascii="Cambria Math" w:hAnsi="Cambria Math"/>
                <w:sz w:val="24"/>
              </w:rPr>
              <m:t>r</m:t>
            </m:r>
          </m:sub>
        </m:sSub>
        <m:r>
          <w:rPr>
            <w:rFonts w:ascii="Cambria Math" w:hAnsi="Cambria Math"/>
            <w:sz w:val="24"/>
          </w:rPr>
          <m:t>) − 1 − </m:t>
        </m:r>
        <m:sSub>
          <m:e>
            <m:r>
              <w:rPr>
                <w:rFonts w:ascii="Cambria Math" w:hAnsi="Cambria Math"/>
                <w:sz w:val="24"/>
              </w:rPr>
              <m:t>s</m:t>
            </m:r>
          </m:e>
          <m:sub>
            <m:r>
              <w:rPr>
                <w:rFonts w:ascii="Cambria Math" w:hAnsi="Cambria Math"/>
                <w:sz w:val="24"/>
              </w:rPr>
              <m:t>r</m:t>
            </m:r>
          </m:sub>
        </m:sSub>
        <m:r>
          <w:rPr>
            <w:rFonts w:ascii="Cambria Math" w:hAnsi="Cambria Math"/>
            <w:sz w:val="24"/>
          </w:rPr>
          <m:t>)</m:t>
        </m:r>
      </m:oMath>
      <w:r>
        <w:rPr>
          <w:sz w:val="22"/>
        </w:rPr>
        <w:t xml:space="preserve">   (6)</w:t>
      </w:r>
    </w:p>
    <w:p>
      <w:pPr>
        <w:jc w:val="both"/>
      </w:pPr>
      <w:r>
        <w:rPr>
          <w:b w:val="0"/>
          <w:i w:val="0"/>
        </w:rPr>
        <w:t>Đặt gω(x) là mạng HR khả vi dự đoán nhịp tim đã chuẩn hóa c = h/60. Mạng được huấn luyện bằng c của PPG thật rồi đóng băng. Khi đó không chia đầu ra gω cho 60 thêm một lần nữa.</w:t>
      </w:r>
    </w:p>
    <w:p>
      <w:pPr>
        <w:spacing w:before="60" w:after="120"/>
        <w:jc w:val="center"/>
      </w:pPr>
      <m:oMath>
        <m:sSub>
          <m:e>
            <m:r>
              <w:rPr>
                <w:rFonts w:ascii="Cambria Math" w:hAnsi="Cambria Math"/>
                <w:sz w:val="24"/>
              </w:rPr>
              <m:t>L</m:t>
            </m:r>
          </m:e>
          <m:sub>
            <m:r>
              <w:rPr>
                <w:rFonts w:ascii="Cambria Math" w:hAnsi="Cambria Math"/>
                <w:sz w:val="24"/>
              </w:rPr>
              <m:t>HR-rec</m:t>
            </m:r>
          </m:sub>
        </m:sSub>
        <m:r>
          <w:rPr>
            <w:rFonts w:ascii="Cambria Math" w:hAnsi="Cambria Math"/>
            <w:sz w:val="24"/>
          </w:rPr>
          <m:t> = </m:t>
        </m:r>
        <m:d>
          <m:dPr>
            <m:begChr m:val="|"/>
            <m:endChr m:val="|"/>
          </m:dPr>
          <m:e>
            <m:sSub>
              <m:e>
                <m:r>
                  <w:rPr>
                    <w:rFonts w:ascii="Cambria Math" w:hAnsi="Cambria Math"/>
                    <w:sz w:val="24"/>
                  </w:rPr>
                  <m:t>g</m:t>
                </m:r>
              </m:e>
              <m:sub>
                <m:r>
                  <w:rPr>
                    <w:rFonts w:ascii="Cambria Math" w:hAnsi="Cambria Math"/>
                    <w:sz w:val="24"/>
                  </w:rPr>
                  <m:t>ω</m:t>
                </m:r>
              </m:sub>
            </m:sSub>
            <m:r>
              <w:rPr>
                <w:rFonts w:ascii="Cambria Math" w:hAnsi="Cambria Math"/>
                <w:sz w:val="24"/>
              </w:rPr>
              <m:t>(</m:t>
            </m:r>
            <m:acc>
              <m:accPr>
                <m:chr m:val="̂"/>
              </m:accPr>
              <m:e>
                <m:r>
                  <w:rPr>
                    <w:rFonts w:ascii="Cambria Math" w:hAnsi="Cambria Math"/>
                    <w:sz w:val="24"/>
                  </w:rPr>
                  <m:t>x</m:t>
                </m:r>
              </m:e>
            </m:acc>
            <m:r>
              <w:rPr>
                <w:rFonts w:ascii="Cambria Math" w:hAnsi="Cambria Math"/>
                <w:sz w:val="24"/>
              </w:rPr>
              <m:t>) − c</m:t>
            </m:r>
          </m:e>
        </m:d>
      </m:oMath>
      <w:r>
        <w:rPr>
          <w:sz w:val="22"/>
        </w:rPr>
        <w:t xml:space="preserve">   (7)</w:t>
      </w:r>
    </w:p>
    <w:p>
      <w:pPr>
        <w:spacing w:before="60" w:after="120"/>
        <w:jc w:val="center"/>
      </w:pPr>
      <m:oMath>
        <m:sSub>
          <m:e>
            <m:r>
              <w:rPr>
                <w:rFonts w:ascii="Cambria Math" w:hAnsi="Cambria Math"/>
                <w:sz w:val="24"/>
              </w:rPr>
              <m:t>L</m:t>
            </m:r>
          </m:e>
          <m:sub>
            <m:r>
              <w:rPr>
                <w:rFonts w:ascii="Cambria Math" w:hAnsi="Cambria Math"/>
                <w:sz w:val="24"/>
              </w:rPr>
              <m:t>base</m:t>
            </m:r>
          </m:sub>
        </m:sSub>
        <m:r>
          <w:rPr>
            <w:rFonts w:ascii="Cambria Math" w:hAnsi="Cambria Math"/>
            <w:sz w:val="24"/>
          </w:rPr>
          <m:t> = </m:t>
        </m:r>
        <m:sSub>
          <m:e>
            <m:r>
              <w:rPr>
                <w:rFonts w:ascii="Cambria Math" w:hAnsi="Cambria Math"/>
                <w:sz w:val="24"/>
              </w:rPr>
              <m:t>L</m:t>
            </m:r>
          </m:e>
          <m:sub>
            <m:r>
              <w:rPr>
                <w:rFonts w:ascii="Cambria Math" w:hAnsi="Cambria Math"/>
                <w:sz w:val="24"/>
              </w:rPr>
              <m:t>rec</m:t>
            </m:r>
          </m:sub>
        </m:sSub>
        <m:r>
          <w:rPr>
            <w:rFonts w:ascii="Cambria Math" w:hAnsi="Cambria Math"/>
            <w:sz w:val="24"/>
          </w:rPr>
          <m:t> + β</m:t>
        </m:r>
        <m:sSub>
          <m:e>
            <m:r>
              <w:rPr>
                <w:rFonts w:ascii="Cambria Math" w:hAnsi="Cambria Math"/>
                <w:sz w:val="24"/>
              </w:rPr>
              <m:t>L</m:t>
            </m:r>
          </m:e>
          <m:sub>
            <m:r>
              <w:rPr>
                <w:rFonts w:ascii="Cambria Math" w:hAnsi="Cambria Math"/>
                <w:sz w:val="24"/>
              </w:rPr>
              <m:t>KL</m:t>
            </m:r>
          </m:sub>
        </m:sSub>
        <m:r>
          <w:rPr>
            <w:rFonts w:ascii="Cambria Math" w:hAnsi="Cambria Math"/>
            <w:sz w:val="24"/>
          </w:rPr>
          <m:t> + λ</m:t>
        </m:r>
        <m:sSub>
          <m:e>
            <m:r>
              <w:rPr>
                <w:rFonts w:ascii="Cambria Math" w:hAnsi="Cambria Math"/>
                <w:sz w:val="24"/>
              </w:rPr>
              <m:t>L</m:t>
            </m:r>
          </m:e>
          <m:sub>
            <m:r>
              <w:rPr>
                <w:rFonts w:ascii="Cambria Math" w:hAnsi="Cambria Math"/>
                <w:sz w:val="24"/>
              </w:rPr>
              <m:t>HR-rec</m:t>
            </m:r>
          </m:sub>
        </m:sSub>
      </m:oMath>
      <w:r>
        <w:rPr>
          <w:sz w:val="22"/>
        </w:rPr>
        <w:t xml:space="preserve">   (8)</w:t>
      </w:r>
    </w:p>
    <w:p>
      <w:pPr>
        <w:jc w:val="both"/>
      </w:pPr>
      <w:r>
        <w:rPr>
          <w:b w:val="0"/>
          <w:i w:val="0"/>
        </w:rPr>
        <w:t>Đây là loss cơ sở giữ từ đề cương: ràng buộc HR trực tiếp áp dụng lên tín hiệu tái tạo x̂. KL hỗ trợ việc lấy mẫu từ prior, nhưng giảm loss tái tạo hoặc loss HR-rec chưa chứng minh rằng mọi x̃ sinh từ prior có HR đúng. Bắt buộc theo dõi mẫu prior trên val bằng bộ đo độc lập ở mục 4.2.</w:t>
      </w:r>
    </w:p>
    <w:p>
      <w:pPr>
        <w:spacing w:before="80" w:after="140"/>
        <w:jc w:val="both"/>
        <w:shd w:fill="F1F4F8"/>
      </w:pPr>
      <w:r>
        <w:rPr>
          <w:b w:val="0"/>
          <w:i/>
          <w:sz w:val="22"/>
        </w:rPr>
        <w:t>Các công thức (2)–(8) mô tả thiết kế đã xác định; không hàm ý rằng β = 0,01 hoặc λ = 1 là tối ưu. Cần ghi cả loss tái tạo, KL và HR-rec riêng thay vì chỉ báo một đường loss tổng.</w:t>
      </w:r>
    </w:p>
    <w:p>
      <w:pPr>
        <w:pStyle w:val="Heading3"/>
        <w:keepNext/>
        <w:pageBreakBefore/>
      </w:pPr>
      <w:r>
        <w:t>3.3.1. Mạng HR phụ trợ và kiểm tra độ tin cậy</w:t>
      </w:r>
    </w:p>
    <w:p>
      <w:pPr>
        <w:jc w:val="both"/>
      </w:pPr>
      <w:r>
        <w:rPr>
          <w:b w:val="0"/>
          <w:i w:val="0"/>
        </w:rPr>
        <w:t>Mạng gω dùng ba Conv1D với số kênh 1→16→32→64, k=7, s=2, p=3; sau mỗi tầng là ReLU, tiếp theo GAP và Dense 64→1 tuyến tính. Mỗi lượt huấn luyện mạng này trên train, chọn checkpoint bằng MAE HR trên val rồi đóng băng trọng số. Cấu hình nhỏ là điểm khởi đầu, không phải bằng chứng mạng đã đủ chính xác dưới nhiễu chuyển động.</w:t>
      </w:r>
    </w:p>
    <w:p>
      <w:pPr>
        <w:jc w:val="both"/>
      </w:pPr>
      <w:r>
        <w:rPr>
          <w:b w:val="0"/>
          <w:i w:val="0"/>
        </w:rPr>
        <w:t>Khi tối ưu cVAE, đặt mạng gω ở chế độ đánh giá và tắt cập nhật trọng số, nhưng vẫn giữ đồ thị gradient qua đầu vào của mạng đến decoder. Không bọc lượt chạy gω(x̂) bằng no_grad và không detach x̂ trong bước cập nhật cVAE. Mạng không nhận h mục tiêu làm đầu vào; nếu nhận h, loss có thể trở nên vô nghĩa do sao chép điều kiện.</w:t>
      </w:r>
    </w:p>
    <w:p>
      <w:pPr>
        <w:jc w:val="both"/>
      </w:pPr>
      <w:r>
        <w:rPr>
          <w:b w:val="0"/>
          <w:i w:val="0"/>
        </w:rPr>
        <w:t>Trước huấn luyện cVAE, đổi đầu ra proxy về bpm bằng 60gω(x), rồi đối chiếu với h trên PPG thật của val theo người và dải HR. Song song đánh giá bộ phát hiện đỉnh độc lập. Nếu gω sai lớn, sai lệch có hệ thống hoặc thiếu ổn định ở dải mục tiêu, không coi nó là nhãn đúng; giữ đối chứng λ = 0 và báo cáo giới hạn. Ngưỡng quyết định sử dụng proxy phải được ghi trước khi mở test.</w:t>
      </w:r>
    </w:p>
    <w:p>
      <w:pPr>
        <w:pStyle w:val="Heading3"/>
        <w:keepNext/>
      </w:pPr>
      <w:r>
        <w:t>3.3.2. Mở rộng tùy chọn: ràng buộc trực tiếp mẫu prior</w:t>
      </w:r>
    </w:p>
    <w:p>
      <w:pPr>
        <w:jc w:val="both"/>
      </w:pPr>
      <w:r>
        <w:rPr>
          <w:b w:val="0"/>
          <w:i w:val="0"/>
        </w:rPr>
        <w:t>Một biến thể bổ sung, không bắt buộc để định nghĩa cVAE cơ sở, là lấy zprior ∼ N(0,I) và h từ các điều kiện train để tính thêm loss trên mẫu sinh tự do. Biến thể này cần được báo cáo tách biệt với loss cơ sở; chưa được coi là cải tiến cho đến khi có đối chứng.</w:t>
      </w:r>
    </w:p>
    <w:p>
      <w:pPr>
        <w:spacing w:before="60" w:after="120"/>
        <w:jc w:val="center"/>
      </w:pPr>
      <m:oMath>
        <m:sSub>
          <m:e>
            <m:r>
              <w:rPr>
                <w:rFonts w:ascii="Cambria Math" w:hAnsi="Cambria Math"/>
                <w:sz w:val="24"/>
              </w:rPr>
              <m:t>L</m:t>
            </m:r>
          </m:e>
          <m:sub>
            <m:r>
              <w:rPr>
                <w:rFonts w:ascii="Cambria Math" w:hAnsi="Cambria Math"/>
                <w:sz w:val="24"/>
              </w:rPr>
              <m:t>HR-prior</m:t>
            </m:r>
          </m:sub>
        </m:sSub>
        <m:r>
          <w:rPr>
            <w:rFonts w:ascii="Cambria Math" w:hAnsi="Cambria Math"/>
            <w:sz w:val="24"/>
          </w:rPr>
          <m:t> = </m:t>
        </m:r>
        <m:d>
          <m:dPr>
            <m:begChr m:val="|"/>
            <m:endChr m:val="|"/>
          </m:dPr>
          <m:e>
            <m:sSub>
              <m:e>
                <m:r>
                  <w:rPr>
                    <w:rFonts w:ascii="Cambria Math" w:hAnsi="Cambria Math"/>
                    <w:sz w:val="24"/>
                  </w:rPr>
                  <m:t>g</m:t>
                </m:r>
              </m:e>
              <m:sub>
                <m:r>
                  <w:rPr>
                    <w:rFonts w:ascii="Cambria Math" w:hAnsi="Cambria Math"/>
                    <w:sz w:val="24"/>
                  </w:rPr>
                  <m:t>ω</m:t>
                </m:r>
              </m:sub>
            </m:sSub>
            <m:r>
              <w:rPr>
                <w:rFonts w:ascii="Cambria Math" w:hAnsi="Cambria Math"/>
                <w:sz w:val="24"/>
              </w:rPr>
              <m:t>(</m:t>
            </m:r>
            <m:sSub>
              <m:e>
                <m:r>
                  <w:rPr>
                    <w:rFonts w:ascii="Cambria Math" w:hAnsi="Cambria Math"/>
                    <w:sz w:val="24"/>
                  </w:rPr>
                  <m:t>D</m:t>
                </m:r>
              </m:e>
              <m:sub>
                <m:r>
                  <w:rPr>
                    <w:rFonts w:ascii="Cambria Math" w:hAnsi="Cambria Math"/>
                    <w:sz w:val="24"/>
                  </w:rPr>
                  <m:t>θ</m:t>
                </m:r>
              </m:sub>
            </m:sSub>
            <m:r>
              <w:rPr>
                <w:rFonts w:ascii="Cambria Math" w:hAnsi="Cambria Math"/>
                <w:sz w:val="24"/>
              </w:rPr>
              <m:t>(</m:t>
            </m:r>
            <m:sSub>
              <m:e>
                <m:r>
                  <w:rPr>
                    <w:rFonts w:ascii="Cambria Math" w:hAnsi="Cambria Math"/>
                    <w:sz w:val="24"/>
                  </w:rPr>
                  <m:t>z</m:t>
                </m:r>
              </m:e>
              <m:sub>
                <m:r>
                  <w:rPr>
                    <w:rFonts w:ascii="Cambria Math" w:hAnsi="Cambria Math"/>
                    <w:sz w:val="24"/>
                  </w:rPr>
                  <m:t>prior</m:t>
                </m:r>
              </m:sub>
            </m:sSub>
            <m:r>
              <w:rPr>
                <w:rFonts w:ascii="Cambria Math" w:hAnsi="Cambria Math"/>
                <w:sz w:val="24"/>
              </w:rPr>
              <m:t>,c)) − c</m:t>
            </m:r>
          </m:e>
        </m:d>
      </m:oMath>
      <w:r>
        <w:rPr>
          <w:sz w:val="22"/>
        </w:rPr>
        <w:t xml:space="preserve">   (9)</w:t>
      </w:r>
    </w:p>
    <w:p>
      <w:pPr>
        <w:spacing w:before="60" w:after="120"/>
        <w:jc w:val="center"/>
      </w:pPr>
      <m:oMath>
        <m:sSub>
          <m:e>
            <m:r>
              <w:rPr>
                <w:rFonts w:ascii="Cambria Math" w:hAnsi="Cambria Math"/>
                <w:sz w:val="24"/>
              </w:rPr>
              <m:t>L</m:t>
            </m:r>
          </m:e>
          <m:sub>
            <m:r>
              <w:rPr>
                <w:rFonts w:ascii="Cambria Math" w:hAnsi="Cambria Math"/>
                <w:sz w:val="24"/>
              </w:rPr>
              <m:t>ext</m:t>
            </m:r>
          </m:sub>
        </m:sSub>
        <m:r>
          <w:rPr>
            <w:rFonts w:ascii="Cambria Math" w:hAnsi="Cambria Math"/>
            <w:sz w:val="24"/>
          </w:rPr>
          <m:t> = </m:t>
        </m:r>
        <m:sSub>
          <m:e>
            <m:r>
              <w:rPr>
                <w:rFonts w:ascii="Cambria Math" w:hAnsi="Cambria Math"/>
                <w:sz w:val="24"/>
              </w:rPr>
              <m:t>L</m:t>
            </m:r>
          </m:e>
          <m:sub>
            <m:r>
              <w:rPr>
                <w:rFonts w:ascii="Cambria Math" w:hAnsi="Cambria Math"/>
                <w:sz w:val="24"/>
              </w:rPr>
              <m:t>base</m:t>
            </m:r>
          </m:sub>
        </m:sSub>
        <m:r>
          <w:rPr>
            <w:rFonts w:ascii="Cambria Math" w:hAnsi="Cambria Math"/>
            <w:sz w:val="24"/>
          </w:rPr>
          <m:t> + </m:t>
        </m:r>
        <m:sSub>
          <m:e>
            <m:r>
              <w:rPr>
                <w:rFonts w:ascii="Cambria Math" w:hAnsi="Cambria Math"/>
                <w:sz w:val="24"/>
              </w:rPr>
              <m:t>λ</m:t>
            </m:r>
          </m:e>
          <m:sub>
            <m:r>
              <w:rPr>
                <w:rFonts w:ascii="Cambria Math" w:hAnsi="Cambria Math"/>
                <w:sz w:val="24"/>
              </w:rPr>
              <m:t>prior</m:t>
            </m:r>
          </m:sub>
        </m:sSub>
        <m:sSub>
          <m:e>
            <m:r>
              <w:rPr>
                <w:rFonts w:ascii="Cambria Math" w:hAnsi="Cambria Math"/>
                <w:sz w:val="24"/>
              </w:rPr>
              <m:t>L</m:t>
            </m:r>
          </m:e>
          <m:sub>
            <m:r>
              <w:rPr>
                <w:rFonts w:ascii="Cambria Math" w:hAnsi="Cambria Math"/>
                <w:sz w:val="24"/>
              </w:rPr>
              <m:t>HR-prior</m:t>
            </m:r>
          </m:sub>
        </m:sSub>
      </m:oMath>
      <w:r>
        <w:rPr>
          <w:sz w:val="22"/>
        </w:rPr>
        <w:t xml:space="preserve">   (10)</w:t>
      </w:r>
    </w:p>
    <w:p>
      <w:pPr>
        <w:jc w:val="both"/>
      </w:pPr>
      <w:r>
        <w:rPr>
          <w:b w:val="0"/>
          <w:i w:val="0"/>
        </w:rPr>
        <w:t>Cấu hình cơ sở dùng λprior = 0. Nếu thực hiện biến thể mở rộng, chọn λprior trên val, so sánh cùng lượt/seed, và kiểm tra đồng thời hình thái cùng độ đa dạng. Không chọn lọc z theo đầu ra của gω để làm đẹp báo cáo sinh từ prior. Biến thể có thể làm tăng nguy cơ bộ sinh khai thác sai lệch của proxy.</w:t>
      </w:r>
    </w:p>
    <w:p>
      <w:pPr>
        <w:pStyle w:val="Heading2"/>
        <w:keepNext/>
      </w:pPr>
      <w:r>
        <w:t>3.4. Mô hình đối chuẩn Gaussian</w:t>
      </w:r>
    </w:p>
    <w:p>
      <w:pPr>
        <w:jc w:val="both"/>
      </w:pPr>
      <w:r>
        <w:rPr>
          <w:b w:val="0"/>
          <w:i w:val="0"/>
        </w:rPr>
        <w:t>Dùng bộ sinh hai Gaussian làm đối chuẩn giải tích, lấy cảm hứng từ mô hình xung trong PPGSynth [4]. Nếu chỉ tự cài đặt tổng hai Gaussian và lặp theo chu kỳ, gọi đúng là “đối chuẩn hai Gaussian”, không khẳng định đã tái lập toàn bộ PPGSynth với các cơ chế nhịp bất thường và sinh nhiễu của công cụ gốc.</w:t>
      </w:r>
    </w:p>
    <w:p>
      <w:pPr>
        <w:jc w:val="both"/>
      </w:pPr>
      <w:r>
        <w:rPr>
          <w:b w:val="0"/>
          <w:i w:val="0"/>
        </w:rPr>
        <w:t>Khớp biên độ, độ rộng và vị trí tương đối của hai thành phần trên các nhịp train đủ điều kiện phân tích; lựa chọn quy tắc khớp trên val. Lấy mẫu đồng thời các bộ tham số đã khớp để hạn chế phá vỡ quan hệ giữa biên độ, vị trí và độ rộng. Pha bắt đầu được lấy ngẫu nhiên. Không khớp tham số hoặc chọn mẫu hình thái từ test.</w:t>
      </w:r>
    </w:p>
    <w:p>
      <w:pPr>
        <w:jc w:val="both"/>
      </w:pPr>
      <w:r>
        <w:rPr>
          <w:b w:val="0"/>
          <w:i w:val="0"/>
        </w:rPr>
        <w:t>Sinh trực tiếp trên trục thời gian tₙ = n/64, n = 0,…,511, với chu kỳ T = 60/h. Dùng pha liên tục hoặc hàm tuần hoàn để tránh làm tròn T thành số mẫu nguyên ở các HR bất kỳ. Gaussian và cVAE dùng cùng điều kiện, số lượng mẫu và quy trình đánh giá. Sai số nhịp gần 0 của một bộ sinh đặt chu kỳ sẵn không chứng minh hình thái của nó giống dữ liệu thật.</w:t>
      </w:r>
    </w:p>
    <w:p>
      <w:pPr>
        <w:pStyle w:val="Heading1"/>
        <w:keepNext/>
        <w:pageBreakBefore/>
      </w:pPr>
      <w:r>
        <w:t>4. THIẾT KẾ THỰC NGHIỆM VÀ CHỈ SỐ</w:t>
      </w:r>
    </w:p>
    <w:p>
      <w:pPr>
        <w:pStyle w:val="Heading2"/>
        <w:keepNext/>
      </w:pPr>
      <w:r>
        <w:t>4.1. Huấn luyện, chọn mô hình và khả năng lặp lại</w:t>
      </w:r>
    </w:p>
    <w:p>
      <w:pPr>
        <w:jc w:val="both"/>
      </w:pPr>
      <w:r>
        <w:rPr>
          <w:b w:val="0"/>
          <w:i w:val="0"/>
        </w:rPr>
        <w:t>Dự kiến dùng PyTorch, Adam, learning rate 10⁻³, batch size 128, tối đa 100 epoch. Khởi điểm β = 0,01 và λ = 1. Tăng β từ 0 đến giá trị cuối trong 10 epoch đầu; ghi rõ lịch và theo dõi KL từng chiều. KL nhỏ một mình chưa đủ để kết luận posterior collapse; cần kiểm tra đầu ra có thay đổi khi đổi z hay không.</w:t>
      </w:r>
    </w:p>
    <w:tbl>
      <w:tblPr>
        <w:tblW w:type="auto" w:w="0"/>
        <w:jc w:val="center"/>
        <w:tblLayout w:type="fixed"/>
        <w:tblLook w:firstColumn="1" w:firstRow="1" w:lastColumn="0" w:lastRow="0" w:noHBand="0" w:noVBand="1" w:val="04A0"/>
        <w:tblCaption w:val="Bảng 5 trong đề cương G2"/>
      </w:tblPr>
      <w:tblGrid>
        <w:gridCol w:w="2154"/>
        <w:gridCol w:w="7200"/>
      </w:tblGrid>
      <w:tr>
        <w:trPr>
          <w:cantSplit/>
          <w:tblHeader/>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Thành phần</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Quy tắc thực hiện</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Mạng HR phụ trợ</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Huấn luyện trước cVAE; chọn trên val thật; đóng băng; dùng chung cho các cVAE/đối chứng của cùng lượt để tránh thay đổi proxy gây nhiễu so sánh.</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Tập ứng viên β, λ</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Giới hạn 5 cặp: (0,001;1), (0,01;0,1), (0,01;1), (0,01;5), (0,1;1). Khảo sát bằng seed 42 trong từng lượt; không mở lưới tùy theo kết quả test.</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Dừng sớm</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Patience 12 epoch sau giai đoạn tăng β. Trong một cấu hình, theo dõi loss val tính bằng β cuối và λ cố định để so sánh các epoch trên cùng thang đo.</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Giám sát sinh prior</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Mỗi checkpoint ứng viên sinh từ một bộ z val cố định và các điều kiện được train hỗ trợ. Dùng bộ đo HR độc lập, không chỉ dùng gω hoặc loss tái tạo.</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So sánh giữa cấu hình</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Không so trực tiếp loss tổng khi β/λ khác nhau. Dùng V, MAE HR, tỷ lệ đạt sai số và hình thái trên val theo quy tắc lựa chọn ghi bên dưới.</w:t>
            </w:r>
          </w:p>
        </w:tc>
      </w:tr>
      <w:tr>
        <w:trPr>
          <w:cantSplit/>
        </w:trPr>
        <w:tc>
          <w:tcPr>
            <w:tcW w:type="dxa" w:w="2154"/>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Lặp lại</w:t>
            </w:r>
          </w:p>
        </w:tc>
        <w:tc>
          <w:tcPr>
            <w:tcW w:type="dxa" w:w="7200"/>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Mô hình cơ sở đã chọn: 5 lượt × seed 42, 43, 44. Đối chứng chính: 5 lượt với seed 42; biến thể mở rộng chỉ làm khi đủ nguồn lực và phải ghi rõ mức lặp.</w:t>
            </w:r>
          </w:p>
        </w:tc>
      </w:tr>
    </w:tbl>
    <w:p>
      <w:pPr>
        <w:spacing w:before="0" w:after="0" w:line="40" w:lineRule="exact"/>
      </w:pPr>
      <w:r>
        <w:rPr>
          <w:sz w:val="4"/>
        </w:rPr>
      </w:r>
    </w:p>
    <w:p>
      <w:pPr>
        <w:jc w:val="both"/>
      </w:pPr>
      <w:r>
        <w:rPr>
          <w:b w:val="0"/>
          <w:i w:val="0"/>
        </w:rPr>
        <w:t>Quy tắc chọn cấu hình: ưu tiên cấu hình có V ≥ 95% tại tất cả các mức HR mục tiêu được train hỗ trợ, sau đó chọn MAE trung bình theo các mức HR thấp nhất. Nếu chênh MAE dưới 0,1 bpm, dùng RMSE tái tạo val thấp hơn để phân xử. Nếu không cấu hình nào đạt điều kiện V, chọn tỷ lệ A₃ tính trên toàn bộ mẫu cao hơn và báo rõ chưa đạt mục tiêu. Luôn báo hình thái và độ đa dạng; cấu hình thắng về HR không mặc nhiên thắng về chất lượng dạng sóng.</w:t>
      </w:r>
    </w:p>
    <w:p>
      <w:pPr>
        <w:jc w:val="both"/>
      </w:pPr>
      <w:r>
        <w:rPr>
          <w:b w:val="0"/>
          <w:i w:val="0"/>
        </w:rPr>
        <w:t>Tập z dùng chọn checkpoint phải khác tập z đánh giá cuối. Không dùng PPG test để tìm z tối ưu, chọn checkpoint, điều chỉnh peak detector, điều chỉnh ngưỡng chất lượng hoặc chọn các mức HR thuận lợi. Không thay đổi tập test sau khi nhìn thấy kết quả.</w:t>
      </w:r>
    </w:p>
    <w:p>
      <w:pPr>
        <w:jc w:val="both"/>
      </w:pPr>
      <w:r>
        <w:rPr>
          <w:b w:val="0"/>
          <w:i w:val="0"/>
        </w:rPr>
        <w:t>Lưu seed cho Python, NumPy và PyTorch; phiên bản thư viện, cấu hình CPU/GPU/RAM, số luồng, manifest dữ liệu, thống kê chuẩn hóa, checkpoint và log huấn luyện. Nếu giảm batch vì thiếu bộ nhớ, ghi nguyên nhân và áp dụng nhất quán cho các mô hình so sánh. Mọi kết quả chưa chạy được ghi “chưa thực hiện”, không điền số dự kiến vào bảng kết quả.</w:t>
      </w:r>
    </w:p>
    <w:p>
      <w:pPr>
        <w:spacing w:before="80" w:after="140"/>
        <w:jc w:val="both"/>
        <w:shd w:fill="F1F4F8"/>
      </w:pPr>
      <w:r>
        <w:rPr>
          <w:b w:val="0"/>
          <w:i/>
          <w:sz w:val="22"/>
        </w:rPr>
        <w:t>Năm cặp siêu tham số là ngân sách khảo sát được đề xuất để thu gọn lưới 3×3 trong bản gốc. Đây không phải kết luận rằng các tổ hợp bị bỏ là kém hơn. Ngân sách phải được chốt trước thí nghiệm.</w:t>
      </w:r>
    </w:p>
    <w:p>
      <w:pPr>
        <w:pStyle w:val="Heading2"/>
        <w:keepNext/>
        <w:pageBreakBefore/>
      </w:pPr>
      <w:r>
        <w:t>4.2. Chỉ số đánh giá: độ đúng nhịp và tỷ lệ đo được</w:t>
      </w:r>
    </w:p>
    <w:p>
      <w:pPr>
        <w:jc w:val="both"/>
      </w:pPr>
      <w:r>
        <w:rPr>
          <w:b w:val="0"/>
          <w:i w:val="0"/>
        </w:rPr>
        <w:t>Bộ đo chính dùng scipy.signal.find_peaks với khoảng cách đỉnh tối thiểu 20 mẫu, tương ứng ceil(0,30 × 64). Độ nổi đỉnh, quy tắc xử lý đỉnh phụ, padding và vùng biên được chọn trên val thật đối chiếu ECG rồi khóa [8]. Bộ đo không nhận h mục tiêu; không thay đổi khoảng cách đỉnh hoặc dải tìm kiếm theo h để ép kết quả đúng điều kiện.</w:t>
      </w:r>
    </w:p>
    <w:p>
      <w:pPr>
        <w:jc w:val="both"/>
      </w:pPr>
      <w:r>
        <w:rPr>
          <w:b w:val="0"/>
          <w:i w:val="0"/>
        </w:rPr>
        <w:t>Đánh giá chính trên dạng sóng đầu ra đã ở miền PPG lọc–chuẩn hóa; không tự động lọc lại riêng mẫu cVAE. Nếu có bước lọc/chuẩn hóa bổ sung phục vụ phát hiện đỉnh, áp dụng cùng toán tử cho PPG thật, Gaussian và cVAE, rồi ghi rõ kết quả là sau xử lý bổ sung. Chỉ số hình thái và năng lượng bất thường vẫn cần kiểm tra trên đầu ra trực tiếp để tránh che lỗi của bộ sinh.</w:t>
      </w:r>
    </w:p>
    <w:p>
      <w:pPr>
        <w:jc w:val="both"/>
      </w:pPr>
      <w:r>
        <w:rPr>
          <w:b w:val="0"/>
          <w:i w:val="0"/>
        </w:rPr>
        <w:t>Với K đỉnh tại các thời điểm t₁,…,tK tính bằng giây, dùng ước lượng nhịp bền vững theo trung vị khoảng cách đỉnh:</w:t>
      </w:r>
    </w:p>
    <w:p>
      <w:pPr>
        <w:spacing w:before="60" w:after="120"/>
        <w:jc w:val="center"/>
      </w:pPr>
      <m:oMath>
        <m:sSub>
          <m:e>
            <m:r>
              <w:rPr>
                <w:rFonts w:ascii="Cambria Math" w:hAnsi="Cambria Math"/>
                <w:sz w:val="24"/>
              </w:rPr>
              <m:t>H</m:t>
            </m:r>
          </m:e>
          <m:sub>
            <m:r>
              <w:rPr>
                <w:rFonts w:ascii="Cambria Math" w:hAnsi="Cambria Math"/>
                <w:sz w:val="24"/>
              </w:rPr>
              <m:t>peak</m:t>
            </m:r>
          </m:sub>
        </m:sSub>
        <m:r>
          <w:rPr>
            <w:rFonts w:ascii="Cambria Math" w:hAnsi="Cambria Math"/>
            <w:sz w:val="24"/>
          </w:rPr>
          <m:t>(u) = </m:t>
        </m:r>
        <m:f>
          <m:num>
            <m:r>
              <w:rPr>
                <w:rFonts w:ascii="Cambria Math" w:hAnsi="Cambria Math"/>
                <w:sz w:val="24"/>
              </w:rPr>
              <m:t>60</m:t>
            </m:r>
          </m:num>
          <m:den>
            <m:r>
              <w:rPr>
                <w:rFonts w:ascii="Cambria Math" w:hAnsi="Cambria Math"/>
                <w:sz w:val="24"/>
              </w:rPr>
              <m:t>median{</m:t>
            </m:r>
            <m:sSub>
              <m:e>
                <m:r>
                  <w:rPr>
                    <w:rFonts w:ascii="Cambria Math" w:hAnsi="Cambria Math"/>
                    <w:sz w:val="24"/>
                  </w:rPr>
                  <m:t>t</m:t>
                </m:r>
              </m:e>
              <m:sub>
                <m:r>
                  <w:rPr>
                    <w:rFonts w:ascii="Cambria Math" w:hAnsi="Cambria Math"/>
                    <w:sz w:val="24"/>
                  </w:rPr>
                  <m:t>k+1</m:t>
                </m:r>
              </m:sub>
            </m:sSub>
            <m:r>
              <w:rPr>
                <w:rFonts w:ascii="Cambria Math" w:hAnsi="Cambria Math"/>
                <w:sz w:val="24"/>
              </w:rPr>
              <m:t> − </m:t>
            </m:r>
            <m:sSub>
              <m:e>
                <m:r>
                  <w:rPr>
                    <w:rFonts w:ascii="Cambria Math" w:hAnsi="Cambria Math"/>
                    <w:sz w:val="24"/>
                  </w:rPr>
                  <m:t>t</m:t>
                </m:r>
              </m:e>
              <m:sub>
                <m:r>
                  <w:rPr>
                    <w:rFonts w:ascii="Cambria Math" w:hAnsi="Cambria Math"/>
                    <w:sz w:val="24"/>
                  </w:rPr>
                  <m:t>k</m:t>
                </m:r>
              </m:sub>
            </m:sSub>
            <m:r>
              <w:rPr>
                <w:rFonts w:ascii="Cambria Math" w:hAnsi="Cambria Math"/>
                <w:sz w:val="24"/>
              </w:rPr>
              <m:t>}</m:t>
            </m:r>
          </m:den>
        </m:f>
      </m:oMath>
      <w:r>
        <w:rPr>
          <w:sz w:val="22"/>
        </w:rPr>
        <w:t xml:space="preserve">   (11)</w:t>
      </w:r>
    </w:p>
    <w:p>
      <w:pPr>
        <w:jc w:val="both"/>
      </w:pPr>
      <w:r>
        <w:rPr>
          <w:b w:val="0"/>
          <w:i w:val="0"/>
        </w:rPr>
        <w:t>Một cửa sổ được tính là đo được khi có ít nhất 3 đỉnh, giá trị hữu hạn và HR trong 40–180 bpm. Cửa sổ phẳng, không hữu hạn hoặc không đủ điều kiện phải được ghi thất bại. Từ “đo được” chỉ nói về bộ đo này, không là nhãn chất lượng sinh lý. Trung vị khoảng nhịp không đồng nhất về toán học với HR trung bình từ ECG; cần kiểm tra sai lệch của phép đo trên PPG thật và có thể báo thêm ước lượng từ trung bình 60/IBI làm phân tích độ nhạy.</w:t>
      </w:r>
    </w:p>
    <w:p>
      <w:pPr>
        <w:spacing w:before="60" w:after="120"/>
        <w:jc w:val="center"/>
      </w:pPr>
      <m:oMath>
        <m:sSub>
          <m:e>
            <m:r>
              <w:rPr>
                <w:rFonts w:ascii="Cambria Math" w:hAnsi="Cambria Math"/>
                <w:sz w:val="24"/>
              </w:rPr>
              <m:t>MAE</m:t>
            </m:r>
          </m:e>
          <m:sub>
            <m:r>
              <w:rPr>
                <w:rFonts w:ascii="Cambria Math" w:hAnsi="Cambria Math"/>
                <w:sz w:val="24"/>
              </w:rPr>
              <m:t>HR</m:t>
            </m:r>
          </m:sub>
        </m:sSub>
        <m:r>
          <w:rPr>
            <w:rFonts w:ascii="Cambria Math" w:hAnsi="Cambria Math"/>
            <w:sz w:val="24"/>
          </w:rPr>
          <m:t> = </m:t>
        </m:r>
        <m:f>
          <m:num>
            <m:r>
              <w:rPr>
                <w:rFonts w:ascii="Cambria Math" w:hAnsi="Cambria Math"/>
                <w:sz w:val="24"/>
              </w:rPr>
              <m:t>1</m:t>
            </m:r>
          </m:num>
          <m:den>
            <m:sSub>
              <m:e>
                <m:r>
                  <w:rPr>
                    <w:rFonts w:ascii="Cambria Math" w:hAnsi="Cambria Math"/>
                    <w:sz w:val="24"/>
                  </w:rPr>
                  <m:t>M</m:t>
                </m:r>
              </m:e>
              <m:sub>
                <m:r>
                  <w:rPr>
                    <w:rFonts w:ascii="Cambria Math" w:hAnsi="Cambria Math"/>
                    <w:sz w:val="24"/>
                  </w:rPr>
                  <m:t>v</m:t>
                </m:r>
              </m:sub>
            </m:sSub>
          </m:den>
        </m:f>
        <m:sSub>
          <m:e>
            <m:r>
              <w:rPr>
                <w:rFonts w:ascii="Cambria Math" w:hAnsi="Cambria Math"/>
                <w:sz w:val="24"/>
              </w:rPr>
              <m:t>Σ</m:t>
            </m:r>
          </m:e>
          <m:sub>
            <m:r>
              <w:rPr>
                <w:rFonts w:ascii="Cambria Math" w:hAnsi="Cambria Math"/>
                <w:sz w:val="24"/>
              </w:rPr>
              <m:t>j∈I</m:t>
            </m:r>
          </m:sub>
        </m:sSub>
        <m:d>
          <m:dPr>
            <m:begChr m:val="|"/>
            <m:endChr m:val="|"/>
          </m:dPr>
          <m:e>
            <m:sSub>
              <m:e>
                <m:r>
                  <w:rPr>
                    <w:rFonts w:ascii="Cambria Math" w:hAnsi="Cambria Math"/>
                    <w:sz w:val="24"/>
                  </w:rPr>
                  <m:t>H</m:t>
                </m:r>
              </m:e>
              <m:sub>
                <m:r>
                  <w:rPr>
                    <w:rFonts w:ascii="Cambria Math" w:hAnsi="Cambria Math"/>
                    <w:sz w:val="24"/>
                  </w:rPr>
                  <m:t>peak</m:t>
                </m:r>
              </m:sub>
            </m:sSub>
            <m:r>
              <w:rPr>
                <w:rFonts w:ascii="Cambria Math" w:hAnsi="Cambria Math"/>
                <w:sz w:val="24"/>
              </w:rPr>
              <m:t>(</m:t>
            </m:r>
            <m:sSub>
              <m:e>
                <m:acc>
                  <m:accPr>
                    <m:chr m:val="̃"/>
                  </m:accPr>
                  <m:e>
                    <m:r>
                      <w:rPr>
                        <w:rFonts w:ascii="Cambria Math" w:hAnsi="Cambria Math"/>
                        <w:sz w:val="24"/>
                      </w:rPr>
                      <m:t>x</m:t>
                    </m:r>
                  </m:e>
                </m:acc>
              </m:e>
              <m:sub>
                <m:r>
                  <w:rPr>
                    <w:rFonts w:ascii="Cambria Math" w:hAnsi="Cambria Math"/>
                    <w:sz w:val="24"/>
                  </w:rPr>
                  <m:t>j</m:t>
                </m:r>
              </m:sub>
            </m:sSub>
            <m:r>
              <w:rPr>
                <w:rFonts w:ascii="Cambria Math" w:hAnsi="Cambria Math"/>
                <w:sz w:val="24"/>
              </w:rPr>
              <m:t>) − </m:t>
            </m:r>
            <m:sSub>
              <m:e>
                <m:r>
                  <w:rPr>
                    <w:rFonts w:ascii="Cambria Math" w:hAnsi="Cambria Math"/>
                    <w:sz w:val="24"/>
                  </w:rPr>
                  <m:t>h</m:t>
                </m:r>
              </m:e>
              <m:sub>
                <m:r>
                  <w:rPr>
                    <w:rFonts w:ascii="Cambria Math" w:hAnsi="Cambria Math"/>
                    <w:sz w:val="24"/>
                  </w:rPr>
                  <m:t>j</m:t>
                </m:r>
              </m:sub>
            </m:sSub>
          </m:e>
        </m:d>
        <m:r>
          <w:rPr>
            <w:rFonts w:ascii="Cambria Math" w:hAnsi="Cambria Math"/>
            <w:sz w:val="24"/>
          </w:rPr>
          <m:t>  (bpm)</m:t>
        </m:r>
      </m:oMath>
      <w:r>
        <w:rPr>
          <w:sz w:val="22"/>
        </w:rPr>
        <w:t xml:space="preserve">   (12)</w:t>
      </w:r>
    </w:p>
    <w:p>
      <w:pPr>
        <w:spacing w:before="60" w:after="120"/>
        <w:jc w:val="center"/>
      </w:pPr>
      <m:oMath>
        <m:r>
          <w:rPr>
            <w:rFonts w:ascii="Cambria Math" w:hAnsi="Cambria Math"/>
            <w:sz w:val="24"/>
          </w:rPr>
          <m:t>V = </m:t>
        </m:r>
        <m:f>
          <m:num>
            <m:sSub>
              <m:e>
                <m:r>
                  <w:rPr>
                    <w:rFonts w:ascii="Cambria Math" w:hAnsi="Cambria Math"/>
                    <w:sz w:val="24"/>
                  </w:rPr>
                  <m:t>M</m:t>
                </m:r>
              </m:e>
              <m:sub>
                <m:r>
                  <w:rPr>
                    <w:rFonts w:ascii="Cambria Math" w:hAnsi="Cambria Math"/>
                    <w:sz w:val="24"/>
                  </w:rPr>
                  <m:t>v</m:t>
                </m:r>
              </m:sub>
            </m:sSub>
          </m:num>
          <m:den>
            <m:r>
              <w:rPr>
                <w:rFonts w:ascii="Cambria Math" w:hAnsi="Cambria Math"/>
                <w:sz w:val="24"/>
              </w:rPr>
              <m:t>M</m:t>
            </m:r>
          </m:den>
        </m:f>
        <m:r>
          <w:rPr>
            <w:rFonts w:ascii="Cambria Math" w:hAnsi="Cambria Math"/>
            <w:sz w:val="24"/>
          </w:rPr>
          <m:t> × 100%</m:t>
        </m:r>
      </m:oMath>
      <w:r>
        <w:rPr>
          <w:sz w:val="22"/>
        </w:rPr>
        <w:t xml:space="preserve">   (13)</w:t>
      </w:r>
    </w:p>
    <w:p>
      <w:pPr>
        <w:spacing w:before="60" w:after="120"/>
        <w:jc w:val="center"/>
      </w:pPr>
      <m:oMath>
        <m:sSub>
          <m:e>
            <m:r>
              <w:rPr>
                <w:rFonts w:ascii="Cambria Math" w:hAnsi="Cambria Math"/>
                <w:sz w:val="24"/>
              </w:rPr>
              <m:t>A</m:t>
            </m:r>
          </m:e>
          <m:sub>
            <m:r>
              <w:rPr>
                <w:rFonts w:ascii="Cambria Math" w:hAnsi="Cambria Math"/>
                <w:sz w:val="24"/>
              </w:rPr>
              <m:t>3</m:t>
            </m:r>
          </m:sub>
        </m:sSub>
        <m:r>
          <w:rPr>
            <w:rFonts w:ascii="Cambria Math" w:hAnsi="Cambria Math"/>
            <w:sz w:val="24"/>
          </w:rPr>
          <m:t> = </m:t>
        </m:r>
        <m:f>
          <m:num>
            <m:sSub>
              <m:e>
                <m:r>
                  <w:rPr>
                    <w:rFonts w:ascii="Cambria Math" w:hAnsi="Cambria Math"/>
                    <w:sz w:val="24"/>
                  </w:rPr>
                  <m:t>M</m:t>
                </m:r>
              </m:e>
              <m:sub>
                <m:r>
                  <w:rPr>
                    <w:rFonts w:ascii="Cambria Math" w:hAnsi="Cambria Math"/>
                    <w:sz w:val="24"/>
                  </w:rPr>
                  <m:t>3</m:t>
                </m:r>
              </m:sub>
            </m:sSub>
          </m:num>
          <m:den>
            <m:r>
              <w:rPr>
                <w:rFonts w:ascii="Cambria Math" w:hAnsi="Cambria Math"/>
                <w:sz w:val="24"/>
              </w:rPr>
              <m:t>M</m:t>
            </m:r>
          </m:den>
        </m:f>
        <m:r>
          <w:rPr>
            <w:rFonts w:ascii="Cambria Math" w:hAnsi="Cambria Math"/>
            <w:sz w:val="24"/>
          </w:rPr>
          <m:t> × 100%</m:t>
        </m:r>
      </m:oMath>
      <w:r>
        <w:rPr>
          <w:sz w:val="22"/>
        </w:rPr>
        <w:t xml:space="preserve">   (14)</w:t>
      </w:r>
    </w:p>
    <w:p>
      <w:pPr>
        <w:jc w:val="both"/>
      </w:pPr>
      <w:r>
        <w:rPr>
          <w:b w:val="0"/>
          <w:i w:val="0"/>
        </w:rPr>
        <w:t>M là toàn bộ mẫu sinh; Mv là số mẫu đo được; I là tập chỉ số đo được trong (12); M₃ là số cửa sổ đo được có sai số HR tuyệt đối ≤ 3 bpm. Báo cáo MAE, trung vị sai số tuyệt đối, V, A₃ và số thất bại cho từng HR. Nếu Mv = 0, ghi MAE “không xác định”, không ghi bằng 0. Mẫu lỗi vẫn nằm trong mẫu số của V và A₃; không sinh bù để đủ số mẫu tốt.</w:t>
      </w:r>
    </w:p>
    <w:p>
      <w:pPr>
        <w:jc w:val="both"/>
      </w:pPr>
      <w:r>
        <w:rPr>
          <w:b w:val="0"/>
          <w:i w:val="0"/>
        </w:rPr>
        <w:t>Mục tiêu MAE ≤ 3 bpm chỉ được coi là đạt cùng với V ≥ 95% tại chính mức HR đó. A₃ là chỉ số bổ sung để thấy trực tiếp bao nhiêu mẫu đạt sai số mong muốn; không suy A₃ ≥ 95% từ hai điều kiện trước, vì MAE là trung bình.</w:t>
      </w:r>
    </w:p>
    <w:p>
      <w:pPr>
        <w:jc w:val="both"/>
      </w:pPr>
      <w:r>
        <w:rPr>
          <w:b w:val="0"/>
          <w:i w:val="0"/>
        </w:rPr>
        <w:t>Kiểm tra chéo tùy chọn bằng ước lượng miền phổ có dải tìm kiếm cố định 40–180 bpm, không chọn dải theo h. Với cửa sổ 8 giây, bước tần số Fourier cơ bản là 1/8 Hz, tương ứng 7,5 bpm. Vì vậy một phép chọn bin FFT thô không phù hợp để tự chứng minh ngưỡng 3 bpm; zero-padding chỉ làm dày lưới, không tạo thêm thông tin thời gian. Ghi riêng trường hợp hai bộ đo bất đồng, không chỉ giữ mẫu đồng thuận.</w:t>
      </w:r>
    </w:p>
    <w:p>
      <w:pPr>
        <w:pStyle w:val="Heading3"/>
        <w:keepNext/>
        <w:pageBreakBefore/>
      </w:pPr>
      <w:r>
        <w:t>4.2.1. Tái tạo, hình thái và đa dạng</w:t>
      </w:r>
    </w:p>
    <w:p>
      <w:pPr>
        <w:jc w:val="both"/>
      </w:pPr>
      <w:r>
        <w:rPr>
          <w:b w:val="0"/>
          <w:i w:val="0"/>
        </w:rPr>
        <w:t>RMSE tái tạo được tính giữa đúng cửa sổ thật và tái tạo của nó, với z = μ. Không dùng RMSE/MSE giữa một mẫu sinh ngẫu nhiên và một cửa sổ thật không có cặp tương ứng. Báo cáo RMSE trong đơn vị biên độ chuẩn hóa; không diễn giải là sai số điện áp cảm biến.</w:t>
      </w:r>
    </w:p>
    <w:p>
      <w:pPr>
        <w:spacing w:before="60" w:after="120"/>
        <w:jc w:val="center"/>
      </w:pPr>
      <m:oMath>
        <m:sSub>
          <m:e>
            <m:r>
              <w:rPr>
                <w:rFonts w:ascii="Cambria Math" w:hAnsi="Cambria Math"/>
                <w:sz w:val="24"/>
              </w:rPr>
              <m:t>RMSE</m:t>
            </m:r>
          </m:e>
          <m:sub>
            <m:r>
              <w:rPr>
                <w:rFonts w:ascii="Cambria Math" w:hAnsi="Cambria Math"/>
                <w:sz w:val="24"/>
              </w:rPr>
              <m:t>rec</m:t>
            </m:r>
          </m:sub>
        </m:sSub>
        <m:r>
          <w:rPr>
            <w:rFonts w:ascii="Cambria Math" w:hAnsi="Cambria Math"/>
            <w:sz w:val="24"/>
          </w:rPr>
          <m:t> = </m:t>
        </m:r>
        <m:rad>
          <m:radPr>
            <m:degHide m:val="1"/>
          </m:radPr>
          <m:deg/>
          <m:e>
            <m:f>
              <m:num>
                <m:r>
                  <w:rPr>
                    <w:rFonts w:ascii="Cambria Math" w:hAnsi="Cambria Math"/>
                    <w:sz w:val="24"/>
                  </w:rPr>
                  <m:t>1</m:t>
                </m:r>
              </m:num>
              <m:den>
                <m:r>
                  <w:rPr>
                    <w:rFonts w:ascii="Cambria Math" w:hAnsi="Cambria Math"/>
                    <w:sz w:val="24"/>
                  </w:rPr>
                  <m:t>N</m:t>
                </m:r>
              </m:den>
            </m:f>
            <m:sSub>
              <m:e>
                <m:r>
                  <w:rPr>
                    <w:rFonts w:ascii="Cambria Math" w:hAnsi="Cambria Math"/>
                    <w:sz w:val="24"/>
                  </w:rPr>
                  <m:t>Σ</m:t>
                </m:r>
              </m:e>
              <m:sub>
                <m:r>
                  <w:rPr>
                    <w:rFonts w:ascii="Cambria Math" w:hAnsi="Cambria Math"/>
                    <w:sz w:val="24"/>
                  </w:rPr>
                  <m:t>i=1…N</m:t>
                </m:r>
              </m:sub>
            </m:sSub>
            <m:sSup>
              <m:e>
                <m:r>
                  <w:rPr>
                    <w:rFonts w:ascii="Cambria Math" w:hAnsi="Cambria Math"/>
                    <w:sz w:val="24"/>
                  </w:rPr>
                  <m:t>(</m:t>
                </m:r>
                <m:sSub>
                  <m:e>
                    <m:r>
                      <w:rPr>
                        <w:rFonts w:ascii="Cambria Math" w:hAnsi="Cambria Math"/>
                        <w:sz w:val="24"/>
                      </w:rPr>
                      <m:t>x</m:t>
                    </m:r>
                  </m:e>
                  <m:sub>
                    <m:r>
                      <w:rPr>
                        <w:rFonts w:ascii="Cambria Math" w:hAnsi="Cambria Math"/>
                        <w:sz w:val="24"/>
                      </w:rPr>
                      <m:t>i</m:t>
                    </m:r>
                  </m:sub>
                </m:sSub>
                <m:r>
                  <w:rPr>
                    <w:rFonts w:ascii="Cambria Math" w:hAnsi="Cambria Math"/>
                    <w:sz w:val="24"/>
                  </w:rPr>
                  <m:t> − </m:t>
                </m:r>
                <m:sSub>
                  <m:e>
                    <m:acc>
                      <m:accPr>
                        <m:chr m:val="̂"/>
                      </m:accPr>
                      <m:e>
                        <m:r>
                          <w:rPr>
                            <w:rFonts w:ascii="Cambria Math" w:hAnsi="Cambria Math"/>
                            <w:sz w:val="24"/>
                          </w:rPr>
                          <m:t>x</m:t>
                        </m:r>
                      </m:e>
                    </m:acc>
                  </m:e>
                  <m:sub>
                    <m:r>
                      <w:rPr>
                        <w:rFonts w:ascii="Cambria Math" w:hAnsi="Cambria Math"/>
                        <w:sz w:val="24"/>
                      </w:rPr>
                      <m:t>i</m:t>
                    </m:r>
                  </m:sub>
                </m:sSub>
                <m:r>
                  <w:rPr>
                    <w:rFonts w:ascii="Cambria Math" w:hAnsi="Cambria Math"/>
                    <w:sz w:val="24"/>
                  </w:rPr>
                  <m:t>)</m:t>
                </m:r>
              </m:e>
              <m:sup>
                <m:r>
                  <w:rPr>
                    <w:rFonts w:ascii="Cambria Math" w:hAnsi="Cambria Math"/>
                    <w:sz w:val="24"/>
                  </w:rPr>
                  <m:t>2</m:t>
                </m:r>
              </m:sup>
            </m:sSup>
          </m:e>
        </m:rad>
      </m:oMath>
      <w:r>
        <w:rPr>
          <w:sz w:val="22"/>
        </w:rPr>
        <w:t xml:space="preserve">   (15)</w:t>
      </w:r>
    </w:p>
    <w:p>
      <w:pPr>
        <w:jc w:val="both"/>
      </w:pPr>
      <w:r>
        <w:rPr>
          <w:b w:val="0"/>
          <w:i w:val="0"/>
        </w:rPr>
        <w:t>Với phân tích hình thái, phát hiện chân xung và đỉnh bằng cùng quy tắc; chỉ giữ nhịp trọn vẹn và ghi tỷ lệ trích được nhịp. Đo thời gian lên đỉnh, độ rộng ở mức 50% biên độ và tỷ lệ thời gian lên đỉnh/chu kỳ. Không bắt buộc mọi PPG cổ tay phải có đỉnh phản xạ rõ. Đặc trưng phản xạ chỉ tính khi mốc tương ứng đủ tin cậy, kèm tỷ lệ xác định được.</w:t>
      </w:r>
    </w:p>
    <w:p>
      <w:pPr>
        <w:jc w:val="both"/>
      </w:pPr>
      <w:r>
        <w:rPr>
          <w:b w:val="0"/>
          <w:i w:val="0"/>
        </w:rPr>
        <w:t>So sánh mẫu sinh với PPG thật test ở cùng dải HR rộng 20 bpm; ghi rõ biên các dải và cách ghép HR mục tiêu vào dải. Trên từng dải, báo cáo trung vị và khoảng tứ phân vị của từng đặc trưng. Cân bằng đóng góp của người test bằng lấy số cửa sổ tối đa như nhau theo người hoặc tính thống kê theo người trước khi tổng hợp. Nếu không có dữ liệu thật cùng dải, ghi không đủ tham chiếu, không thay bằng dữ liệu train.</w:t>
      </w:r>
    </w:p>
    <w:p>
      <w:pPr>
        <w:jc w:val="both"/>
      </w:pPr>
      <w:r>
        <w:rPr>
          <w:b w:val="0"/>
          <w:i w:val="0"/>
        </w:rPr>
        <w:t>Để đánh giá đa dạng hình thái, căn nhịp theo chân xung, nội suy mỗi nhịp về 128 điểm và chuẩn hóa biên độ riêng cho phép so sánh này. Báo độ lệch chuẩn trung bình theo thời gian của các nhịp đã căn, cùng độ phân tán các đặc trưng hình thái. Việc này tách biến thiên hình dạng khỏi dịch pha đơn thuần. Giữ phân tích biên độ trên đầu ra chuẩn hóa toàn cục ở bảng riêng để không che hiện tượng biên độ quá nhỏ/lớn.</w:t>
      </w:r>
    </w:p>
    <w:p>
      <w:pPr>
        <w:jc w:val="both"/>
      </w:pPr>
      <w:r>
        <w:rPr>
          <w:b w:val="0"/>
          <w:i w:val="0"/>
        </w:rPr>
        <w:t>Vẽ các mẫu theo chỉ số chọn trước bằng seed: 20 cửa sổ cho mỗi mức HR, thêm các mẫu lỗi được ghi riêng. Không chỉ chọn mẫu có sai số nhỏ. Độ phân tán lớn có thể do nhiễu; độ phân tán nhỏ có thể do lặp mẫu. Chỉ kết luận về sự tương đồng/phân tán được quan sát, không gọi là “chất lượng y khoa” hoặc “PPG sạch được xác thực”.</w:t>
      </w:r>
    </w:p>
    <w:p>
      <w:pPr>
        <w:pStyle w:val="Heading3"/>
        <w:keepNext/>
      </w:pPr>
      <w:r>
        <w:t>4.2.2. Chi phí mô hình và phạm vi triển khai</w:t>
      </w:r>
    </w:p>
    <w:tbl>
      <w:tblPr>
        <w:tblW w:type="auto" w:w="0"/>
        <w:jc w:val="center"/>
        <w:tblLayout w:type="fixed"/>
        <w:tblLook w:firstColumn="1" w:firstRow="1" w:lastColumn="0" w:lastRow="0" w:noHBand="0" w:noVBand="1" w:val="04A0"/>
        <w:tblCaption w:val="Bảng 6 trong đề cương G2"/>
      </w:tblPr>
      <w:tblGrid>
        <w:gridCol w:w="2041"/>
        <w:gridCol w:w="7313"/>
      </w:tblGrid>
      <w:tr>
        <w:trPr>
          <w:cantSplit/>
          <w:tblHeader/>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Đại lượng</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Cách đo và điều kiện báo cáo</w:t>
            </w:r>
          </w:p>
        </w:tc>
      </w:tr>
      <w:tr>
        <w:trPr>
          <w:cantSplit/>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Số tham số</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Đếm bằng tổng numel() của các tensor tham số; báo encoder, decoder, cVAE và proxy riêng. Không cộng optimizer state vào tham số mô hình.</w:t>
            </w:r>
          </w:p>
        </w:tc>
      </w:tr>
      <w:tr>
        <w:trPr>
          <w:cantSplit/>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Dung lượng</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Đo byte thật của tệp decoder; ghi FP32, định dạng tệp, MB = 10⁶ byte. Tách kích thước trọng số khỏi RAM chạy và kích thước thư viện.</w:t>
            </w:r>
          </w:p>
        </w:tc>
      </w:tr>
      <w:tr>
        <w:trPr>
          <w:cantSplit/>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Độ trễ decoder</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CPU một luồng, batch 1, eval + inference_mode; warm-up 100 lần, đo 1.000 lần; báo trung vị và phân vị 95%. Loại đọc tệp, tải model và vẽ hình.</w:t>
            </w:r>
          </w:p>
        </w:tc>
      </w:tr>
      <w:tr>
        <w:trPr>
          <w:cantSplit/>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Độ trễ toàn quy trình</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Báo riêng lấy mẫu z + decoder + hậu xử lý/đo HR nếu dùng. Không gộp thời gian này với độ trễ decoder rồi so sánh nhầm.</w:t>
            </w:r>
          </w:p>
        </w:tc>
      </w:tr>
      <w:tr>
        <w:trPr>
          <w:cantSplit/>
        </w:trPr>
        <w:tc>
          <w:tcPr>
            <w:tcW w:type="dxa" w:w="204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Kết luận IoT</w:t>
            </w:r>
          </w:p>
        </w:tc>
        <w:tc>
          <w:tcPr>
            <w:tcW w:type="dxa" w:w="731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Nêu CPU, RAM, hệ điều hành và runtime. Chỉ khẳng định khả năng chạy trên cấu hình đã đo; không suy sang ESP32, FPGA hoặc thiết bị khác.</w:t>
            </w:r>
          </w:p>
        </w:tc>
      </w:tr>
    </w:tbl>
    <w:p>
      <w:pPr>
        <w:spacing w:before="0" w:after="0" w:line="40" w:lineRule="exact"/>
      </w:pPr>
      <w:r>
        <w:rPr>
          <w:sz w:val="4"/>
        </w:rPr>
      </w:r>
    </w:p>
    <w:p>
      <w:pPr>
        <w:pStyle w:val="Heading2"/>
        <w:keepNext/>
        <w:pageBreakBefore/>
      </w:pPr>
      <w:r>
        <w:t>4.3. Quy trình kiểm thử và tổng hợp kết quả</w:t>
      </w:r>
    </w:p>
    <w:p>
      <w:pPr>
        <w:jc w:val="both"/>
      </w:pPr>
      <w:r>
        <w:rPr>
          <w:b w:val="0"/>
          <w:i w:val="0"/>
        </w:rPr>
        <w:t>Mỗi lượt và mỗi seed của mô hình cơ sở sinh đúng 1.000 cửa sổ cho mỗi HR 60, 80, 120 bpm. Gaussian dùng cùng lưới HR và số mẫu. Tất cả đều sinh từ prior hoặc bộ tham số Gaussian đã khớp trên train, không từ posterior của PPG test. Thử nghiệm này đánh giá điều khiển điều kiện của bộ sinh học trên train, không phải tái tạo từng người test.</w:t>
      </w:r>
    </w:p>
    <w:p>
      <w:pPr>
        <w:jc w:val="both"/>
      </w:pPr>
      <w:r>
        <w:rPr>
          <w:b w:val="0"/>
          <w:i w:val="0"/>
        </w:rPr>
        <w:t>Thực hiện riêng so sánh phân bố với dữ liệu thật test cùng dải HR và tái tạo test có cặp. Có thể sinh thêm theo HR của nhãn test để khảo sát điều kiện thực tế, nhưng dùng HR đó làm điều kiện không làm mẫu sinh trở thành mẫu cá nhân hóa của người test. Đề tài không có điều kiện định danh người.</w:t>
      </w:r>
    </w:p>
    <w:p>
      <w:pPr>
        <w:jc w:val="both"/>
      </w:pPr>
      <w:r>
        <w:rPr>
          <w:b w:val="0"/>
          <w:i w:val="0"/>
        </w:rPr>
        <w:t>Khi tổng hợp, trước hết lấy trung bình qua 3 seed trong mỗi lượt; tiếp theo báo trung bình và độ lệch chuẩn qua 5 lượt. Đồng thời báo độ biến thiên giữa seed trong từng lượt. Đối với chỉ số trên dữ liệu thật, tính theo từng người trước khi tổng hợp. Không dùng hàng nghìn cửa sổ chồng lấp hoặc 15 tổ hợp lượt×seed như 15 quần thể độc lập để suy diễn độ tin cậy quá mức. Phân tích có kiểm định thống kê, nếu thêm, phải mô tả đơn vị lấy mẫu và sự phụ thuộc của các lượt.</w:t>
      </w:r>
    </w:p>
    <w:tbl>
      <w:tblPr>
        <w:tblW w:type="auto" w:w="0"/>
        <w:jc w:val="center"/>
        <w:tblLayout w:type="fixed"/>
        <w:tblLook w:firstColumn="1" w:firstRow="1" w:lastColumn="0" w:lastRow="0" w:noHBand="0" w:noVBand="1" w:val="04A0"/>
        <w:tblCaption w:val="Bảng 7 trong đề cương G2"/>
      </w:tblPr>
      <w:tblGrid>
        <w:gridCol w:w="2721"/>
        <w:gridCol w:w="6633"/>
      </w:tblGrid>
      <w:tr>
        <w:trPr>
          <w:cantSplit/>
          <w:tblHeader/>
        </w:trPr>
        <w:tc>
          <w:tcPr>
            <w:tcW w:type="dxa" w:w="272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Bảng / hình cần có</w:t>
            </w:r>
          </w:p>
        </w:tc>
        <w:tc>
          <w:tcPr>
            <w:tcW w:type="dxa" w:w="663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Nội dung tối thiểu</w:t>
            </w:r>
          </w:p>
        </w:tc>
      </w:tr>
      <w:tr>
        <w:trPr>
          <w:cantSplit/>
        </w:trPr>
        <w:tc>
          <w:tcPr>
            <w:tcW w:type="dxa" w:w="272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Bảng dữ liệu và bộ đo</w:t>
            </w:r>
          </w:p>
        </w:tc>
        <w:tc>
          <w:tcPr>
            <w:tcW w:type="dxa" w:w="663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Số người/cửa sổ theo split, HR và chuyển động; MAE/V của proxy và peak detector trên PPG thật đối chiếu ECG.</w:t>
            </w:r>
          </w:p>
        </w:tc>
      </w:tr>
      <w:tr>
        <w:trPr>
          <w:cantSplit/>
        </w:trPr>
        <w:tc>
          <w:tcPr>
            <w:tcW w:type="dxa" w:w="272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Bảng sinh theo điều kiện</w:t>
            </w:r>
          </w:p>
        </w:tc>
        <w:tc>
          <w:tcPr>
            <w:tcW w:type="dxa" w:w="663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Phương pháp, lượt/seed, HR mục tiêu, MAE, trung vị sai số, V, A₃, số thất bại; đánh dấu ngoài miền và vùng dữ liệu thưa.</w:t>
            </w:r>
          </w:p>
        </w:tc>
      </w:tr>
      <w:tr>
        <w:trPr>
          <w:cantSplit/>
        </w:trPr>
        <w:tc>
          <w:tcPr>
            <w:tcW w:type="dxa" w:w="272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Bảng hình thái và tài nguyên</w:t>
            </w:r>
          </w:p>
        </w:tc>
        <w:tc>
          <w:tcPr>
            <w:tcW w:type="dxa" w:w="663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Đặc trưng hình thái, độ đa dạng, tỷ lệ trích được nhịp; RMSE tái tạo riêng; tham số, byte, độ trễ trung vị/P95.</w:t>
            </w:r>
          </w:p>
        </w:tc>
      </w:tr>
      <w:tr>
        <w:trPr>
          <w:cantSplit/>
        </w:trPr>
        <w:tc>
          <w:tcPr>
            <w:tcW w:type="dxa" w:w="272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Hình minh họa</w:t>
            </w:r>
          </w:p>
        </w:tc>
        <w:tc>
          <w:tcPr>
            <w:tcW w:type="dxa" w:w="6633"/>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HR sinh theo h; giữ z đổi h; giữ h đổi z; phân bố đặc trưng theo HR; mẫu thật, mẫu sinh và trường hợp thất bại.</w:t>
            </w:r>
          </w:p>
        </w:tc>
      </w:tr>
    </w:tbl>
    <w:p>
      <w:pPr>
        <w:spacing w:before="0" w:after="0" w:line="40" w:lineRule="exact"/>
      </w:pPr>
      <w:r>
        <w:rPr>
          <w:sz w:val="4"/>
        </w:rPr>
      </w:r>
    </w:p>
    <w:p>
      <w:pPr>
        <w:pStyle w:val="Heading2"/>
        <w:keepNext/>
      </w:pPr>
      <w:r>
        <w:t>4.4. Phân tích bóc tách thành phần</w:t>
      </w:r>
    </w:p>
    <w:tbl>
      <w:tblPr>
        <w:tblW w:type="auto" w:w="0"/>
        <w:jc w:val="center"/>
        <w:tblLayout w:type="fixed"/>
        <w:tblLook w:firstColumn="1" w:firstRow="1" w:lastColumn="0" w:lastRow="0" w:noHBand="0" w:noVBand="1" w:val="04A0"/>
        <w:tblCaption w:val="Bảng 8 trong đề cương G2"/>
      </w:tblPr>
      <w:tblGrid>
        <w:gridCol w:w="1191"/>
        <w:gridCol w:w="2891"/>
        <w:gridCol w:w="5272"/>
      </w:tblGrid>
      <w:tr>
        <w:trPr>
          <w:cantSplit/>
          <w:tblHeader/>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Mức độ</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Cấu hình</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1"/>
              </w:rPr>
              <w:t>Đối chiếu và câu hỏi</w:t>
            </w:r>
          </w:p>
        </w:tc>
      </w:tr>
      <w:tr>
        <w:trPr>
          <w:cantSplit/>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Chính</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cVAE cơ sở + HR-rec</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Giữ d=16, có h, β/λ chốt trên val. So với Gaussian ở 5 lượt, 3 seed.</w:t>
            </w:r>
          </w:p>
        </w:tc>
      </w:tr>
      <w:tr>
        <w:trPr>
          <w:cantSplit/>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Cần làm</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Bỏ ràng buộc HR: λ=0</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So với cơ sở cùng lượt/seed 42; các thành phần khác giữ nguyên. HR-rec có cải thiện sinh từ prior không?</w:t>
            </w:r>
          </w:p>
        </w:tc>
      </w:tr>
      <w:tr>
        <w:trPr>
          <w:cantSplit/>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Cần làm</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Bỏ điều kiện: c=0, λ=0</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So với cVAE có h nhưng λ=0; tránh trộn tác động của điều kiện với tác động của loss HR.</w:t>
            </w:r>
          </w:p>
        </w:tc>
      </w:tr>
      <w:tr>
        <w:trPr>
          <w:cantSplit/>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Tùy chọn</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Thêm HR-prior</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So với cơ sở; chỉ thay λprior. Kiểm tra HR, hình thái và độ đa dạng, không chỉ loss.</w:t>
            </w:r>
          </w:p>
        </w:tc>
      </w:tr>
      <w:tr>
        <w:trPr>
          <w:cantSplit/>
        </w:trPr>
        <w:tc>
          <w:tcPr>
            <w:tcW w:type="dxa" w:w="11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Tùy chọn</w:t>
            </w:r>
          </w:p>
        </w:tc>
        <w:tc>
          <w:tcPr>
            <w:tcW w:type="dxa" w:w="289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β=0 hoặc d∈{8,32}</w:t>
            </w:r>
          </w:p>
        </w:tc>
        <w:tc>
          <w:tcPr>
            <w:tcW w:type="dxa" w:w="527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1"/>
              </w:rPr>
              <w:t>β=0 chỉ là đối chứng bỏ regularization prior, không bảo đảm lấy z∼N(0,I) là hợp lệ; khảo sát d phải cập nhật kích thước và chi phí.</w:t>
            </w:r>
          </w:p>
        </w:tc>
      </w:tr>
    </w:tbl>
    <w:p>
      <w:pPr>
        <w:spacing w:before="0" w:after="0" w:line="40" w:lineRule="exact"/>
      </w:pPr>
      <w:r>
        <w:rPr>
          <w:sz w:val="4"/>
        </w:rPr>
      </w:r>
    </w:p>
    <w:p>
      <w:pPr>
        <w:jc w:val="both"/>
      </w:pPr>
      <w:r>
        <w:rPr>
          <w:b w:val="0"/>
          <w:i w:val="0"/>
        </w:rPr>
        <w:t>Các đối chứng cần làm dùng cùng manifest, optimizer, ngân sách epoch và quy tắc chọn checkpoint, chạy 5 lượt với seed 42 và so với cơ sở đúng seed đó. Biến thể chưa chạy phải ghi “chưa thực hiện”.</w:t>
      </w:r>
    </w:p>
    <w:p>
      <w:pPr>
        <w:pStyle w:val="Heading2"/>
        <w:keepNext/>
        <w:pageBreakBefore/>
      </w:pPr>
      <w:r>
        <w:t>4.5. Sản phẩm dự kiến và giới hạn kết luận</w:t>
      </w:r>
    </w:p>
    <w:p>
      <w:pPr>
        <w:jc w:val="both"/>
      </w:pPr>
      <w:r>
        <w:rPr>
          <w:b w:val="0"/>
          <w:i w:val="0"/>
        </w:rPr>
        <w:t>Sản phẩm gồm: mã đọc và kiểm tra dữ liệu; manifest chia người; quy trình tiền xử lý; mã cVAE, proxy và Gaussian; cấu hình thí nghiệm; checkpoint; tệp chỉ số theo mẫu; bảng/hình tổng hợp; chương trình sinh 8 giây PPG từ HR và seed trên CPU. Trình diễn cần hiển thị cả nhịp mục tiêu, nhịp đo được và cờ thất bại; không tự thay nhịp đo bằng nhịp mục tiêu.</w:t>
      </w:r>
    </w:p>
    <w:p>
      <w:pPr>
        <w:jc w:val="both"/>
      </w:pPr>
      <w:r>
        <w:rPr>
          <w:b w:val="0"/>
          <w:i w:val="0"/>
        </w:rPr>
        <w:t>Triển khai theo thứ tự: xác minh dữ liệu và nhãn → kiểm chuẩn bộ đo trên PPG thật → chạy Gaussian → huấn luyện cVAE cơ sở → sinh prior và đối chứng → kiểm thử khóa cấu hình → đo CPU và hoàn thiện báo cáo. Nếu chất lượng proxy chưa đủ, ưu tiên hoàn thiện cVAE với λ=0 và báo giới hạn, thay vì tăng độ phức tạp hoặc che giấu mẫu lỗi.</w:t>
      </w:r>
    </w:p>
    <w:p>
      <w:pPr>
        <w:jc w:val="both"/>
      </w:pPr>
      <w:r>
        <w:rPr>
          <w:b w:val="0"/>
          <w:i w:val="0"/>
        </w:rPr>
        <w:t>Kết luận chỉ dựa trên các mục đã đo. Không tuyên bố tăng hiệu quả học nhờ dữ liệu tổng hợp, bảo toàn danh tính, mô phỏng bệnh lý, tính riêng tư, chất lượng lâm sàng hoặc khả năng nhúng vi điều khiển khi chưa có các thí nghiệm tương ứng.</w:t>
      </w:r>
    </w:p>
    <w:p>
      <w:pPr>
        <w:pStyle w:val="Heading1"/>
        <w:keepNext/>
      </w:pPr>
      <w:r>
        <w:t>5. TÀI LIỆU THAM KHẢO</w:t>
      </w:r>
    </w:p>
    <w:p>
      <w:pPr>
        <w:spacing w:line="245" w:lineRule="auto" w:after="120"/>
        <w:jc w:val="both"/>
      </w:pPr>
      <w:r>
        <w:rPr>
          <w:b w:val="0"/>
          <w:i w:val="0"/>
          <w:sz w:val="22"/>
        </w:rPr>
        <w:t>[1] A. Reiss, I. Indlekofer, P. Schmidt, and K. Van Laerhoven, “Deep PPG: Large-Scale Heart Rate Estimation with Convolutional Neural Networks,” Sensors, vol. 19, no. 14, art. 3079, 2019. doi: 10.3390/s19143079.</w:t>
      </w:r>
    </w:p>
    <w:p>
      <w:pPr>
        <w:spacing w:line="245" w:lineRule="auto" w:after="120"/>
        <w:jc w:val="both"/>
      </w:pPr>
      <w:r>
        <w:rPr>
          <w:b w:val="0"/>
          <w:i w:val="0"/>
          <w:sz w:val="22"/>
        </w:rPr>
        <w:t>[2] D. P. Kingma and M. Welling, “Auto-Encoding Variational Bayes,” International Conference on Learning Representations (ICLR), 2014. arXiv:1312.6114.</w:t>
      </w:r>
    </w:p>
    <w:p>
      <w:pPr>
        <w:spacing w:line="245" w:lineRule="auto" w:after="120"/>
        <w:jc w:val="both"/>
      </w:pPr>
      <w:r>
        <w:rPr>
          <w:b w:val="0"/>
          <w:i w:val="0"/>
          <w:sz w:val="22"/>
        </w:rPr>
        <w:t>[3] K. Sohn, H. Lee, and X. Yan, “Learning Structured Output Representation using Deep Conditional Generative Models,” Advances in Neural Information Processing Systems, vol. 28, 2015.</w:t>
      </w:r>
    </w:p>
    <w:p>
      <w:pPr>
        <w:spacing w:line="245" w:lineRule="auto" w:after="120"/>
        <w:jc w:val="both"/>
      </w:pPr>
      <w:r>
        <w:rPr>
          <w:b w:val="0"/>
          <w:i w:val="0"/>
          <w:sz w:val="22"/>
        </w:rPr>
        <w:t>[4] Q. Tang, Z. Chen, J. Allen, A. Alian, C. Menon, R. Ward, and M. Elgendi, “PPGSynth: An Innovative Toolbox for Synthesizing Regular and Irregular Photoplethysmography Waveforms,” Frontiers in Medicine, vol. 7, art. 597774, 2020. doi: 10.3389/fmed.2020.597774.</w:t>
      </w:r>
    </w:p>
    <w:p>
      <w:pPr>
        <w:spacing w:line="245" w:lineRule="auto" w:after="120"/>
        <w:jc w:val="both"/>
      </w:pPr>
      <w:r>
        <w:rPr>
          <w:b w:val="0"/>
          <w:i w:val="0"/>
          <w:sz w:val="22"/>
        </w:rPr>
        <w:t>[5] A. Reiss, I. Indlekofer, and P. Schmidt, “PPG-DaLiA,” UCI Machine Learning Repository, 2019. doi: 10.24432/C53890. Trang dữ liệu và mô tả kênh được đối chiếu ngày 22/09/2026.</w:t>
      </w:r>
    </w:p>
    <w:p>
      <w:pPr>
        <w:spacing w:line="245" w:lineRule="auto" w:after="120"/>
        <w:jc w:val="both"/>
      </w:pPr>
      <w:r>
        <w:rPr>
          <w:b w:val="0"/>
          <w:i w:val="0"/>
          <w:sz w:val="22"/>
        </w:rPr>
        <w:t>[6] SciPy Developers, “scipy.signal.butter,” SciPy Reference Guide. docs.scipy.org/doc/scipy/reference/generated/scipy.signal.butter.html. Truy cập ngày 22/09/2026.</w:t>
      </w:r>
    </w:p>
    <w:p>
      <w:pPr>
        <w:spacing w:line="245" w:lineRule="auto" w:after="120"/>
        <w:jc w:val="both"/>
      </w:pPr>
      <w:r>
        <w:rPr>
          <w:b w:val="0"/>
          <w:i w:val="0"/>
          <w:sz w:val="22"/>
        </w:rPr>
        <w:t>[7] SciPy Developers, “scipy.signal.sosfiltfilt,” SciPy Reference Guide. docs.scipy.org/doc/scipy/reference/generated/scipy.signal.sosfiltfilt.html. Truy cập ngày 22/09/2026.</w:t>
      </w:r>
    </w:p>
    <w:p>
      <w:pPr>
        <w:spacing w:line="245" w:lineRule="auto" w:after="120"/>
        <w:jc w:val="both"/>
      </w:pPr>
      <w:r>
        <w:rPr>
          <w:b w:val="0"/>
          <w:i w:val="0"/>
          <w:sz w:val="22"/>
        </w:rPr>
        <w:t>[8] SciPy Developers, “scipy.signal.find_peaks,” SciPy Reference Guide. docs.scipy.org/doc/scipy/reference/generated/scipy.signal.find_peaks.html. Truy cập ngày 22/09/2026.</w:t>
      </w:r>
    </w:p>
    <w:p>
      <w:pPr>
        <w:spacing w:before="80" w:after="140"/>
        <w:jc w:val="both"/>
        <w:shd w:fill="F1F4F8"/>
      </w:pPr>
      <w:r>
        <w:rPr>
          <w:b w:val="0"/>
          <w:i/>
          <w:sz w:val="22"/>
        </w:rPr>
        <w:t>Nguồn gốc bản hiệu chỉnh: PhamDangQuang_decuongcuoimon_iot.docx, 8 trang. Tài liệu tham khảo [1]–[5] đã có trong bản gốc; [6]–[8] bổ sung để làm rõ triển khai. Phụ lục sau là giải trình biên tập, tách khỏi phần đề cương chính.</w:t>
      </w:r>
    </w:p>
    <w:p>
      <w:pPr>
        <w:pStyle w:val="Heading1"/>
        <w:keepNext/>
        <w:pageBreakBefore/>
      </w:pPr>
      <w:r>
        <w:t>PHỤ LỤC A. GIẢI TRÌNH CÁC CHỈNH SỬA</w:t>
      </w:r>
    </w:p>
    <w:p>
      <w:pPr>
        <w:pStyle w:val="Heading2"/>
        <w:keepNext/>
      </w:pPr>
      <w:r>
        <w:t>A.1. Đánh giá tổng thể và các phần giữ nguyên</w:t>
      </w:r>
    </w:p>
    <w:p>
      <w:pPr>
        <w:jc w:val="both"/>
      </w:pPr>
      <w:r>
        <w:rPr>
          <w:b w:val="0"/>
          <w:i w:val="0"/>
        </w:rPr>
        <w:t>Đề cương gốc đã có nền tảng phương pháp hợp lý. Các điểm được giữ: bài toán PPG 512 mẫu/8 giây ở 64 Hz; điều kiện HR lấy từ ECG; prior chuẩn và latent 16 chiều; chia người trước cắt cửa sổ; không dùng posterior test để đánh giá sinh; không tính MSE cho cặp sinh–thật ngẫu nhiên; proxy HR khả vi được đóng băng; peak detector độc lập; Gaussian làm đối chuẩn; báo MAE kèm tỷ lệ đo được và mẫu lỗi.</w:t>
      </w:r>
    </w:p>
    <w:p>
      <w:pPr>
        <w:jc w:val="both"/>
      </w:pPr>
      <w:r>
        <w:rPr>
          <w:b w:val="0"/>
          <w:i w:val="0"/>
        </w:rPr>
        <w:t>Vì vậy, không cần thay cVAE bằng mô hình khác chỉ để tăng độ phức tạp. Các hiệu chỉnh tập trung vào phát biểu đúng mức bằng chứng, khả năng tái lập và các phép đo đang còn thiếu. Hình kiến trúc trang 4 bản gốc được giữ vì các kích thước phù hợp với cấu hình tích chập đã ghi.</w:t>
      </w:r>
    </w:p>
    <w:p>
      <w:pPr>
        <w:pStyle w:val="Heading2"/>
        <w:keepNext/>
      </w:pPr>
      <w:r>
        <w:t>A.2. Những điểm đã sửa hoặc làm rõ</w:t>
      </w:r>
    </w:p>
    <w:tbl>
      <w:tblPr>
        <w:tblW w:type="auto" w:w="0"/>
        <w:jc w:val="center"/>
        <w:tblLayout w:type="fixed"/>
        <w:tblLook w:firstColumn="1" w:firstRow="1" w:lastColumn="0" w:lastRow="0" w:noHBand="0" w:noVBand="1" w:val="04A0"/>
        <w:tblCaption w:val="Bảng 9 trong đề cương G2"/>
      </w:tblPr>
      <w:tblGrid>
        <w:gridCol w:w="1701"/>
        <w:gridCol w:w="3231"/>
        <w:gridCol w:w="4422"/>
      </w:tblGrid>
      <w:tr>
        <w:trPr>
          <w:cantSplit/>
          <w:tblHeader/>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Vị trí bản gốc</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Vấn đề / giới hạn</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Hiệu chỉnh trong bản mới</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2.1–2.2, trang 3</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8,3 triệu chưa gắn với đơn vị mẫu học; chưa ghi cách kiểm tra offset nhãn.</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Tách điểm dữ liệu khỏi cửa sổ; bổ sung chỉ số s₀, bước 128, manifest và kiểm tra khớp nhãn. Chưa khẳng định đã kiểm tra dữ liệu thô.</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2.2, trang 3</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“Butterworth bậc 4, hai chiều” có thể được cài đặt và diễn giải khác nhau.</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Ghi đúng lời gọi SciPy/SOS, ý nghĩa bậc của bandpass và phép lọc thuận–nghịch; làm rõ ngoại tuyến, biên và tránh lọc lại bất đối xứng [6], [7].</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2.2; 4.2</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Lọc/loại đoạn phẳng không đủ để gọi dữ liệu sạch; ít chuyển động không phải nhãn chất lượng.</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Dùng “hợp lệ kỹ thuật” và “đo được”; giữ tỷ lệ loại và tỷ lệ trích nhịp; không loại theo lỗi HR để làm đẹp test.</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3.2, trang 5</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Không dùng INT8 “vì G2 là bài toán tạo sinh” là lập luận không đúng về phạm vi phương pháp.</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Thay bằng giới hạn nghiên cứu FP32; không suy bản chất tạo sinh cấm lượng tử hóa. Chưa có đặc tả G2 riêng để xác nhận yêu cầu bắt buộc.</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3.3, trang 5–6</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Loss HR gắn x̂ tái tạo, nhưng chưa tách rõ với bảo đảm sinh prior. Đây không phải sai định nghĩa cVAE.</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Giữ HR-rec cơ sở; đặt ký hiệu x̂/x̃ riêng; thêm kiểm tra prior trên val; HR-prior là biến thể tùy chọn có đối chứng, không thay ngầm mô hình gốc.</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3.3, trang 6</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Thang đo đầu ra HR và cách đóng băng dễ bị cài sai; proxy có thể chưa đáng tin.</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Cho gω dự đoán h/60, không chia hai lần; giữ gradient đầu vào, không nhận h; kiểm chuẩn trên PPG thật trước khi dùng loss.</w:t>
            </w:r>
          </w:p>
        </w:tc>
      </w:tr>
    </w:tbl>
    <w:p>
      <w:pPr>
        <w:spacing w:before="0" w:after="0" w:line="40" w:lineRule="exact"/>
      </w:pPr>
      <w:r>
        <w:rPr>
          <w:sz w:val="4"/>
        </w:rPr>
      </w:r>
    </w:p>
    <w:p>
      <w:pPr>
        <w:pStyle w:val="Heading2"/>
        <w:keepNext/>
        <w:pageBreakBefore/>
      </w:pPr>
      <w:r>
        <w:t>A.2. Những điểm đã sửa hoặc làm rõ (tiếp)</w:t>
      </w:r>
    </w:p>
    <w:tbl>
      <w:tblPr>
        <w:tblW w:type="auto" w:w="0"/>
        <w:jc w:val="center"/>
        <w:tblLayout w:type="fixed"/>
        <w:tblLook w:firstColumn="1" w:firstRow="1" w:lastColumn="0" w:lastRow="0" w:noHBand="0" w:noVBand="1" w:val="04A0"/>
        <w:tblCaption w:val="Bảng 10 trong đề cương G2"/>
      </w:tblPr>
      <w:tblGrid>
        <w:gridCol w:w="1701"/>
        <w:gridCol w:w="3231"/>
        <w:gridCol w:w="4422"/>
      </w:tblGrid>
      <w:tr>
        <w:trPr>
          <w:cantSplit/>
          <w:tblHeader/>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Vị trí bản gốc</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Vấn đề / giới hạn</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shd w:fill="E7EDF4"/>
          </w:tcPr>
          <w:p>
            <w:pPr>
              <w:spacing w:before="20" w:after="40" w:line="245" w:lineRule="auto"/>
              <w:jc w:val="left"/>
            </w:pPr>
            <w:r>
              <w:rPr>
                <w:rFonts w:ascii="Times New Roman" w:hAnsi="Times New Roman"/>
                <w:b/>
                <w:sz w:val="20"/>
              </w:rPr>
              <w:t>Hiệu chỉnh trong bản mới</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3.4, trang 6</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Hai Gaussian là đối chuẩn hợp lý, nhưng không đồng nghĩa tái lập toàn bộ PPGSynth.</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Ghi “lấy cảm hứng”; fit train, lấy mẫu bộ tham số đồng thời, dùng pha liên tục; không mặc định cVAE thắng MAE [4].</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4.1, trang 6</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Loss tổng có trọng số thay đổi không thích hợp để so trực tiếp β/λ hoặc epoch warm-up.</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Dùng trọng số cuối khi so epoch; chọn giữa cấu hình bằng tiêu chí val cố định; giới hạn 5 cặp thay cho lưới 9 cặp để giảm tải.</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4.2, trang 6–7</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K≥3 và HR trong khoảng chỉ cho biết đo được, chưa chứng minh tín hiệu PPG tốt.</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Giữ bộ đo độc lập, đổi diễn giải V; thêm A₃ trên toàn bộ mẫu; quy định Mv=0 và không sinh bù/loại lỗi.</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3.2; 4.3–4.4</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Mô tả đa dạng chủ yếu bằng hình chồng; có thể nhầm thay đổi pha hoặc nhiễu với thay đổi hình thái.</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Thêm đặc trưng định lượng, căn nhịp, tỷ lệ trích được nhịp, tham chiếu thật cùng dải HR; không bắt buộc xung phản xạ luôn rõ.</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4.2–4.4</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Tổng hợp lượt/seed và cửa sổ chồng lấp có nguy cơ bị diễn giải như nhiều mẫu độc lập.</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Trung bình seed trong lượt rồi tổng hợp 5 lượt; riêng chỉ số thật tính theo người; tránh suy luận thống kê giả độc lập.</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Mục 4.4, trang 8</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Dòng “Đổi bottleneck” bị lặp; một số công thức còn dạng LaTeX thô.</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Xóa nội dung trùng; đưa công thức vào định dạng toán Word; thống nhất ký hiệu, MAE/V/A₃ và mục tiêu chưa kiểm chứng.</w:t>
            </w:r>
          </w:p>
        </w:tc>
      </w:tr>
      <w:tr>
        <w:trPr>
          <w:cantSplit/>
        </w:trPr>
        <w:tc>
          <w:tcPr>
            <w:tcW w:type="dxa" w:w="170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Bìa và phạm vi IoT</w:t>
            </w:r>
          </w:p>
        </w:tc>
        <w:tc>
          <w:tcPr>
            <w:tcW w:type="dxa" w:w="3231"/>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Bìa ghi giữa kỳ, tên tệp ghi cuối môn; chưa có thông tin phần cứng thực tế.</w:t>
            </w:r>
          </w:p>
        </w:tc>
        <w:tc>
          <w:tcPr>
            <w:tcW w:type="dxa" w:w="4422"/>
            <w:vAlign w:val="center"/>
            <w:tcMar>
              <w:top w:w="65" w:type="dxa"/>
              <w:left w:w="65" w:type="dxa"/>
              <w:bottom w:w="65" w:type="dxa"/>
              <w:right w:w="65" w:type="dxa"/>
            </w:tcMar>
            <w:tcBorders>
              <w:top w:val="single" w:sz="4" w:color="BEC8D2"/>
              <w:left w:val="single" w:sz="4" w:color="BEC8D2"/>
              <w:bottom w:val="single" w:sz="4" w:color="BEC8D2"/>
              <w:right w:val="single" w:sz="4" w:color="BEC8D2"/>
            </w:tcBorders>
          </w:tcPr>
          <w:p>
            <w:pPr>
              <w:spacing w:before="20" w:after="40" w:line="245" w:lineRule="auto"/>
              <w:jc w:val="left"/>
            </w:pPr>
            <w:r>
              <w:rPr>
                <w:rFonts w:ascii="Times New Roman" w:hAnsi="Times New Roman"/>
                <w:b w:val="0"/>
                <w:sz w:val="20"/>
              </w:rPr>
              <w:t>Giữ thông tin bìa theo nguồn, đổi thành “đề cương báo cáo”; không tự sửa học kỳ hoặc suy thiết bị triển khai.</w:t>
            </w:r>
          </w:p>
        </w:tc>
      </w:tr>
    </w:tbl>
    <w:p>
      <w:pPr>
        <w:spacing w:before="0" w:after="0" w:line="40" w:lineRule="exact"/>
      </w:pPr>
      <w:r>
        <w:rPr>
          <w:sz w:val="4"/>
        </w:rPr>
      </w:r>
    </w:p>
    <w:p>
      <w:pPr>
        <w:pStyle w:val="Heading2"/>
        <w:keepNext/>
      </w:pPr>
      <w:r>
        <w:t>A.3. Những nội dung chưa thể xác nhận từ tài liệu đã cung cấp</w:t>
      </w:r>
    </w:p>
    <w:p>
      <w:pPr>
        <w:jc w:val="both"/>
      </w:pPr>
      <w:r>
        <w:rPr>
          <w:b w:val="0"/>
          <w:i w:val="0"/>
        </w:rPr>
        <w:t>Chưa có mã nguồn, dữ liệu thô, log hoặc checkpoint kèm theo nên chưa xác minh được: offset nhãn thực tế; số cửa sổ hợp lệ; phân bố HR của từng lượt; ngưỡng chất lượng; độ chính xác proxy và peak detector; MAE/V/A₃; hình thái đầu ra; dung lượng tệp đã xuất và độ trễ CPU. Các con số về tham số là tính từ kiến trúc, không thay cho kiểm tra mô hình sau cài đặt.</w:t>
      </w:r>
    </w:p>
    <w:p>
      <w:pPr>
        <w:jc w:val="both"/>
      </w:pPr>
      <w:r>
        <w:rPr>
          <w:b w:val="0"/>
          <w:i w:val="0"/>
        </w:rPr>
        <w:t>Cần xác nhận thông tin hành chính trước khi nộp: giữa kỳ hay cuối kỳ, học kỳ/năm học, tên đơn vị theo mẫu hiện hành và nội dung chính thức của mã đề G2. Bản gốc chỉ cung cấp mã G2, không kèm đề giao riêng; vì vậy không coi các cụm “bắt buộc theo G2” trong bản gốc là yêu cầu đã được kiểm chứng độc lập.</w:t>
      </w:r>
    </w:p>
    <w:p>
      <w:pPr>
        <w:spacing w:before="80" w:after="140"/>
        <w:jc w:val="both"/>
        <w:shd w:fill="F1F4F8"/>
      </w:pPr>
      <w:r>
        <w:rPr>
          <w:b w:val="0"/>
          <w:i/>
          <w:sz w:val="22"/>
        </w:rPr>
        <w:t>Kết luận rà soát: có thể giữ nguyên hướng cVAE điều kiện HR và kiến trúc hiện tại. Tính thuyết phục khoa học phụ thuộc vào căn nhãn đúng, bộ đo được kiểm chuẩn, đánh giá sinh từ prior, đối chứng công bằng và báo cáo đủ mẫu lỗi; không phụ thuộc vào việc thêm nhiều mô hình hoặc đưa ra cam kết hiệu năng chưa có dữ liệu.</w:t>
      </w:r>
    </w:p>
    <w:sectPr w:rsidR="00FC693F" w:rsidRPr="0006063C" w:rsidSect="00034616">
      <w:headerReference w:type="default" r:id="rId9"/>
      <w:footerReference w:type="default" r:id="rId10"/>
      <w:pgSz w:w="11906" w:h="16838"/>
      <w:pgMar w:top="1077" w:right="1134" w:bottom="1077"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Đề cương nghiên cứu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A6B4C5"/>
      </w:pBdr>
    </w:pPr>
    <w:r>
      <w:rPr>
        <w:color w:val="666666"/>
        <w:sz w:val="18"/>
      </w:rPr>
      <w:t>PHẠM ĐĂNG QUANG  |  G2 – SINH PPG CÓ ĐIỀU KIỆN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Times New Roman" w:hAnsi="Times New Roman" w:eastAsia="Times New Roman"/>
      <w:sz w:val="25"/>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eastAsia="Times New Roman"/>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imes New Roman" w:hAnsi="Times New Roman" w:eastAsia="Times New Roman"/>
      <w:b/>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eastAsia="Times New Roman"/>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 tín hiệu PPG theo nhịp tim bằng mạng tự mã hóa biến phân có điều kiện cVAE</dc:title>
  <dc:subject>Đề cương G2 đã hiệu chỉnh khoa học; kèm phụ lục giải trình</dc:subject>
  <dc:creator>Phạm Đăng Quang</dc:creator>
  <cp:keywords>PPG-DaLiA, cVAE, HR, G2, đề cương</cp:keywords>
  <dc:description>Hiệu chỉnh từ bản đề cương được cung cấp; không chứa kết quả huấn luyện đã kiểm chứng.</dc:description>
  <cp:lastModifiedBy/>
  <cp:revision>1</cp:revision>
  <dcterms:created xsi:type="dcterms:W3CDTF">2013-12-23T23:15:00Z</dcterms:created>
  <dcterms:modified xsi:type="dcterms:W3CDTF">2013-12-23T23:15:00Z</dcterms:modified>
  <cp:category/>
</cp:coreProperties>
</file>