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6B7280"/>
          <w:sz w:val="26"/>
        </w:rPr>
        <w:t>DEMONSTRAÇÃO DE COMPETÊNCIA</w:t>
      </w:r>
    </w:p>
    <w:p>
      <w:pPr>
        <w:spacing w:before="160"/>
        <w:jc w:val="center"/>
      </w:pPr>
      <w:r>
        <w:rPr>
          <w:b/>
          <w:color w:val="1F4E78"/>
          <w:sz w:val="60"/>
        </w:rPr>
        <w:t>Relatório técnico</w:t>
      </w:r>
    </w:p>
    <w:p>
      <w:pPr>
        <w:jc w:val="center"/>
      </w:pPr>
      <w:r>
        <w:rPr>
          <w:b/>
          <w:color w:val="1F2937"/>
          <w:sz w:val="36"/>
        </w:rPr>
        <w:t>Tarefa 5 - Entender rapidamente as dimensões e fatos</w:t>
      </w:r>
    </w:p>
    <w:p>
      <w:pPr>
        <w:spacing w:before="640"/>
        <w:jc w:val="center"/>
      </w:pPr>
      <w:r>
        <w:rPr>
          <w:color w:val="6B7280"/>
          <w:sz w:val="22"/>
        </w:rPr>
        <w:t>Base de dados: AdventureWorksDW2025</w:t>
        <w:br/>
        <w:t>Ferramentas: SQL Server + Power BI Desktop / Power Query</w:t>
        <w:br/>
        <w:t>Data: 22 de outubro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10166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22"/>
              </w:rPr>
              <w:t>STATUS DA TAREFA: CONCLUÍDA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Objetivo da tarefa</w:t>
      </w:r>
    </w:p>
    <w:p>
      <w:r>
        <w:t>Compreender, de forma rápida e aplicada ao dashboard, o papel da tabela fato e das dimensões selecionadas do AdventureWorksDW2025. A análise teve como foco identificar a granularidade dos dados, as chaves de relacionamento, os atributos de contexto e as medidas que poderão sustentar os KPIs, filtros e visualizações do Power BI.</w:t>
      </w:r>
    </w:p>
    <w:p>
      <w:pPr>
        <w:pStyle w:val="Heading1"/>
        <w:keepNext/>
      </w:pPr>
      <w:r>
        <w:t>2. Evidências e método de análise</w:t>
      </w:r>
    </w:p>
    <w:p>
      <w:r>
        <w:t>Foram utilizados os oito arquivos CSV exportados diretamente do SQL Server apenas como apoio para inspeção estrutural, além da visualização das mesmas consultas no Power Query. Os CSVs não substituem a conexão do Power BI com o banco; o modelo final continuará usando o AdventureWorksDW2025 como fonte.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1440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Linhas no CSV</w:t>
            </w:r>
          </w:p>
        </w:tc>
        <w:tc>
          <w:tcPr>
            <w:tcW w:type="dxa" w:w="1152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Colunas</w:t>
            </w:r>
          </w:p>
        </w:tc>
        <w:tc>
          <w:tcPr>
            <w:tcW w:type="dxa" w:w="3312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FactInternetSales</w:t>
            </w:r>
          </w:p>
        </w:tc>
        <w:tc>
          <w:tcPr>
            <w:tcW w:type="dxa" w:w="144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1.000</w:t>
            </w:r>
          </w:p>
        </w:tc>
        <w:tc>
          <w:tcPr>
            <w:tcW w:type="dxa" w:w="115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26</w:t>
            </w:r>
          </w:p>
        </w:tc>
        <w:tc>
          <w:tcPr>
            <w:tcW w:type="dxa" w:w="33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Amostra de 1.000 linhas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DimDate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1.000</w:t>
            </w:r>
          </w:p>
        </w:tc>
        <w:tc>
          <w:tcPr>
            <w:tcW w:type="dxa" w:w="115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19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Amostra de 1.000 linhas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DimCustomer</w:t>
            </w:r>
          </w:p>
        </w:tc>
        <w:tc>
          <w:tcPr>
            <w:tcW w:type="dxa" w:w="144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1.000</w:t>
            </w:r>
          </w:p>
        </w:tc>
        <w:tc>
          <w:tcPr>
            <w:tcW w:type="dxa" w:w="115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29</w:t>
            </w:r>
          </w:p>
        </w:tc>
        <w:tc>
          <w:tcPr>
            <w:tcW w:type="dxa" w:w="33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Amostra de 1.000 linhas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DimGeography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655</w:t>
            </w:r>
          </w:p>
        </w:tc>
        <w:tc>
          <w:tcPr>
            <w:tcW w:type="dxa" w:w="115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11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Exportação disponível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DimProduct</w:t>
            </w:r>
          </w:p>
        </w:tc>
        <w:tc>
          <w:tcPr>
            <w:tcW w:type="dxa" w:w="144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606</w:t>
            </w:r>
          </w:p>
        </w:tc>
        <w:tc>
          <w:tcPr>
            <w:tcW w:type="dxa" w:w="115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36</w:t>
            </w:r>
          </w:p>
        </w:tc>
        <w:tc>
          <w:tcPr>
            <w:tcW w:type="dxa" w:w="33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Exportação disponível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DimProductSubcategory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37</w:t>
            </w:r>
          </w:p>
        </w:tc>
        <w:tc>
          <w:tcPr>
            <w:tcW w:type="dxa" w:w="115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Exportação disponível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DimProductCategory</w:t>
            </w:r>
          </w:p>
        </w:tc>
        <w:tc>
          <w:tcPr>
            <w:tcW w:type="dxa" w:w="144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type="dxa" w:w="115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type="dxa" w:w="33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Exportação disponível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DimSalesTerritory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11</w:t>
            </w:r>
          </w:p>
        </w:tc>
        <w:tc>
          <w:tcPr>
            <w:tcW w:type="dxa" w:w="115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Exportação disponível</w:t>
            </w:r>
          </w:p>
        </w:tc>
      </w:tr>
    </w:tbl>
    <w:p>
      <w:pPr>
        <w:pStyle w:val="CaptionSmall"/>
      </w:pPr>
      <w:r>
        <w:rPr>
          <w:b/>
        </w:rPr>
        <w:t xml:space="preserve">Observação: </w:t>
      </w:r>
      <w:r>
        <w:t>FactInternetSales, DimCustomer e DimDate possuem 1.000 linhas nos CSVs exportados. Como a FactInternetSales já havia sido validada no SQL Server com 60.398 registros, esses arquivos são tratados como amostras estruturais, e não como base para os resultados finais do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60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7151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6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Figura 1 - Power Query com as oito consultas selecionadas e a FactInternetSales em inspeção.</w:t>
      </w:r>
    </w:p>
    <w:p>
      <w:pPr>
        <w:pStyle w:val="Heading1"/>
        <w:keepNext/>
      </w:pPr>
      <w:r>
        <w:t>3. Tabela fato e tabelas dimensão</w:t>
      </w:r>
    </w:p>
    <w:p>
      <w:r>
        <w:t>No modelo dimensional, a tabela fato registra eventos mensuráveis do negócio, enquanto as dimensões descrevem entidades e contextos usados para filtrar, agrupar e interpretar esses eventos. Para este trabalho, o processo central é a venda pela Internet.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68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Tabela(s)</w:t>
            </w:r>
          </w:p>
        </w:tc>
        <w:tc>
          <w:tcPr>
            <w:tcW w:type="dxa" w:w="5112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Função no dashboard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Fato</w:t>
            </w:r>
          </w:p>
        </w:tc>
        <w:tc>
          <w:tcPr>
            <w:tcW w:type="dxa" w:w="31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FactInternetSales</w:t>
            </w:r>
          </w:p>
        </w:tc>
        <w:tc>
          <w:tcPr>
            <w:tcW w:type="dxa" w:w="51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Registra itens de pedidos e medidas de venda: quantidade, preço, custo, receita, imposto, frete e desconto.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Tempo</w:t>
            </w:r>
          </w:p>
        </w:tc>
        <w:tc>
          <w:tcPr>
            <w:tcW w:type="dxa" w:w="316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DimDate</w:t>
            </w:r>
          </w:p>
        </w:tc>
        <w:tc>
          <w:tcPr>
            <w:tcW w:type="dxa" w:w="51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Permite analisar vendas por data, mês, trimestre, ano e calendário fiscal.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Cliente</w:t>
            </w:r>
          </w:p>
        </w:tc>
        <w:tc>
          <w:tcPr>
            <w:tcW w:type="dxa" w:w="31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DimCustomer</w:t>
            </w:r>
          </w:p>
        </w:tc>
        <w:tc>
          <w:tcPr>
            <w:tcW w:type="dxa" w:w="51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Descreve quem comprou e permite segmentação por perfil.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Geografia</w:t>
            </w:r>
          </w:p>
        </w:tc>
        <w:tc>
          <w:tcPr>
            <w:tcW w:type="dxa" w:w="316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DimGeography</w:t>
            </w:r>
          </w:p>
        </w:tc>
        <w:tc>
          <w:tcPr>
            <w:tcW w:type="dxa" w:w="51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Localiza clientes por cidade, estado/província, país e território.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Produto</w:t>
            </w:r>
          </w:p>
        </w:tc>
        <w:tc>
          <w:tcPr>
            <w:tcW w:type="dxa" w:w="31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DimProduct</w:t>
            </w:r>
          </w:p>
        </w:tc>
        <w:tc>
          <w:tcPr>
            <w:tcW w:type="dxa" w:w="51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Descreve o item vendido, com nome, custo, preço, cor, tamanho e subcategoria.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Hierarquia de produto</w:t>
            </w:r>
          </w:p>
        </w:tc>
        <w:tc>
          <w:tcPr>
            <w:tcW w:type="dxa" w:w="316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DimProductSubcategory / DimProductCategory</w:t>
            </w:r>
          </w:p>
        </w:tc>
        <w:tc>
          <w:tcPr>
            <w:tcW w:type="dxa" w:w="5112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Organiza produtos em subcategoria e categoria para drill-down e comparação.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Território</w:t>
            </w:r>
          </w:p>
        </w:tc>
        <w:tc>
          <w:tcPr>
            <w:tcW w:type="dxa" w:w="31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DimSalesTerritory</w:t>
            </w:r>
          </w:p>
        </w:tc>
        <w:tc>
          <w:tcPr>
            <w:tcW w:type="dxa" w:w="51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Representa a estrutura comercial de região, país e grupo territorial.</w:t>
            </w:r>
          </w:p>
        </w:tc>
      </w:tr>
    </w:tbl>
    <w:p>
      <w:pPr>
        <w:pStyle w:val="Heading1"/>
        <w:keepNext/>
      </w:pPr>
      <w:r>
        <w:t>4. FactInternetSales - fato principal</w:t>
      </w:r>
    </w:p>
    <w:p>
      <w:r>
        <w:t>A FactInternetSales é o centro do modelo. Sua granularidade é de item de pedido: uma mesma venda pode possuir mais de uma linha, identificada pela combinação do número do pedido com o número da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464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3744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Chaves dimensionais</w:t>
            </w:r>
          </w:p>
        </w:tc>
        <w:tc>
          <w:tcPr>
            <w:tcW w:type="dxa" w:w="44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ProductKey, OrderDateKey, DueDateKey, ShipDateKey, CustomerKey, SalesTerritoryKey</w:t>
            </w:r>
          </w:p>
        </w:tc>
        <w:tc>
          <w:tcPr>
            <w:tcW w:type="dxa" w:w="374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Relacionar cada item às dimensões.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Pedido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SalesOrderNumber, SalesOrderLineNumber</w:t>
            </w:r>
          </w:p>
        </w:tc>
        <w:tc>
          <w:tcPr>
            <w:tcW w:type="dxa" w:w="374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Contar pedidos distintos e preservar o grão de item.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Volume/preço</w:t>
            </w:r>
          </w:p>
        </w:tc>
        <w:tc>
          <w:tcPr>
            <w:tcW w:type="dxa" w:w="44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OrderQuantity, UnitPrice, ExtendedAmount</w:t>
            </w:r>
          </w:p>
        </w:tc>
        <w:tc>
          <w:tcPr>
            <w:tcW w:type="dxa" w:w="374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Medir unidades, preços e valor bruto da linha.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Financeiro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DiscountAmount, ProductStandardCost, TotalProductCost, SalesAmount, TaxAmt, Freight</w:t>
            </w:r>
          </w:p>
        </w:tc>
        <w:tc>
          <w:tcPr>
            <w:tcW w:type="dxa" w:w="3744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Receita, custo, margem, desconto, impostos e frete.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Datas</w:t>
            </w:r>
          </w:p>
        </w:tc>
        <w:tc>
          <w:tcPr>
            <w:tcW w:type="dxa" w:w="44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OrderDate, DueDate, ShipDate</w:t>
            </w:r>
          </w:p>
        </w:tc>
        <w:tc>
          <w:tcPr>
            <w:tcW w:type="dxa" w:w="374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Analisar pedido, vencimento e expedição; calcular prazo de envio.</w:t>
            </w:r>
          </w:p>
        </w:tc>
      </w:tr>
    </w:tbl>
    <w:p>
      <w:r>
        <w:rPr>
          <w:b/>
        </w:rPr>
        <w:t xml:space="preserve">Validação dos KPIs: </w:t>
      </w:r>
      <w:r>
        <w:t>os campos disponíveis permitem calcular receita total, lucro bruto, margem bruta percentual, pedidos, ticket médio, unidades vendidas, clientes únicos, recorrência, crescimento temporal e prazo médio de envio.</w:t>
      </w:r>
    </w:p>
    <w:p>
      <w:r>
        <w:rPr>
          <w:b/>
        </w:rPr>
        <w:t xml:space="preserve">Observação sobre descontos: </w:t>
      </w:r>
      <w:r>
        <w:t>na amostra de 1.000 linhas exportada, 0 registro(s) apresentou(aram) DiscountAmount diferente de zero. Isso não deve ser generalizado para toda a tabela sem uma consulta sobre os 60.398 registros do SQL Server.</w:t>
      </w:r>
    </w:p>
    <w:p>
      <w:pPr>
        <w:pStyle w:val="Heading1"/>
        <w:keepNext/>
      </w:pPr>
      <w:r>
        <w:t>5. Dimensões e seus papéis analíticos</w:t>
      </w:r>
    </w:p>
    <w:p>
      <w:pPr>
        <w:pStyle w:val="Heading2"/>
        <w:keepNext/>
      </w:pPr>
      <w:r>
        <w:t>5.1 DimDate - quando?</w:t>
      </w:r>
    </w:p>
    <w:p>
      <w:r>
        <w:t>A dimensão de data possui 19 campos e fornece calendário civil e fiscal. O relacionamento principal do dashboard será DateKey → FactInternetSales[OrderDateKey]. A fato também contém DueDateKey e ShipDateKey, fazendo de DimDate uma dimensão com múltiplos papéis (pedido, vencimento e envio).</w:t>
      </w:r>
    </w:p>
    <w:p>
      <w:pPr>
        <w:ind w:left="259"/>
      </w:pPr>
      <w:r>
        <w:rPr>
          <w:b/>
          <w:color w:val="1F4E78"/>
        </w:rPr>
        <w:t xml:space="preserve">Campos-chave: </w:t>
      </w:r>
      <w:r>
        <w:t>DateKey; FullDateAlternateKey; EnglishMonthName; MonthNumberOfYear; CalendarQuarter; CalendarYear; FiscalQuarter; FiscalYear.</w:t>
      </w:r>
    </w:p>
    <w:p>
      <w:pPr>
        <w:pStyle w:val="Heading2"/>
        <w:keepNext/>
      </w:pPr>
      <w:r>
        <w:t>5.2 DimCustomer - quem?</w:t>
      </w:r>
    </w:p>
    <w:p>
      <w:r>
        <w:t>A dimensão de cliente possui atributos demográficos e comportamentais úteis para contagem e segmentação. Ela se conecta diretamente à fato por CustomerKey e à geografia por GeographyKey.</w:t>
      </w:r>
    </w:p>
    <w:p>
      <w:pPr>
        <w:ind w:left="259"/>
      </w:pPr>
      <w:r>
        <w:rPr>
          <w:b/>
          <w:color w:val="1F4E78"/>
        </w:rPr>
        <w:t xml:space="preserve">Campos-chave: </w:t>
      </w:r>
      <w:r>
        <w:t>CustomerKey; GeographyKey; BirthDate; MaritalStatus; Gender; YearlyIncome; EnglishEducation; EnglishOccupation; DateFirstPurchase.</w:t>
      </w:r>
    </w:p>
    <w:p>
      <w:pPr>
        <w:pStyle w:val="Heading2"/>
        <w:keepNext/>
      </w:pPr>
      <w:r>
        <w:t>5.3 DimGeography - onde está o cliente?</w:t>
      </w:r>
    </w:p>
    <w:p>
      <w:r>
        <w:t>Fornece o contexto de localização do cliente. Permite análises por cidade, estado/província e país, além de ligação com SalesTerritoryKey.</w:t>
      </w:r>
    </w:p>
    <w:p>
      <w:pPr>
        <w:ind w:left="259"/>
      </w:pPr>
      <w:r>
        <w:rPr>
          <w:b/>
          <w:color w:val="1F4E78"/>
        </w:rPr>
        <w:t xml:space="preserve">Campos-chave: </w:t>
      </w:r>
      <w:r>
        <w:t>GeographyKey; City; StateProvinceName; EnglishCountryRegionName; PostalCode; SalesTerritoryKey.</w:t>
      </w:r>
    </w:p>
    <w:p>
      <w:pPr>
        <w:pStyle w:val="Heading2"/>
        <w:keepNext/>
      </w:pPr>
      <w:r>
        <w:t>5.4 DimProduct - o que foi vendido?</w:t>
      </w:r>
    </w:p>
    <w:p>
      <w:r>
        <w:t>Contém os atributos do produto e se relaciona à fato por ProductKey. Também aponta para a subcategoria por ProductSubcategoryKey.</w:t>
      </w:r>
    </w:p>
    <w:p>
      <w:pPr>
        <w:ind w:left="259"/>
      </w:pPr>
      <w:r>
        <w:rPr>
          <w:b/>
          <w:color w:val="1F4E78"/>
        </w:rPr>
        <w:t xml:space="preserve">Campos-chave: </w:t>
      </w:r>
      <w:r>
        <w:t>ProductKey; ProductSubcategoryKey; EnglishProductName; StandardCost; Color; ListPrice; Size; ModelName; Status.</w:t>
      </w:r>
    </w:p>
    <w:p>
      <w:pPr>
        <w:pStyle w:val="Heading2"/>
        <w:keepNext/>
      </w:pPr>
      <w:r>
        <w:t>5.5 DimProductSubcategory e DimProductCategory</w:t>
      </w:r>
    </w:p>
    <w:p>
      <w:r>
        <w:t>As tabelas formam uma hierarquia normalizada de produtos: Categoria → Subcategoria → Produto. Foram identificadas 4 categorias e 37 subcategorias nos arquivos exportados.</w:t>
      </w:r>
    </w:p>
    <w:p>
      <w:pPr>
        <w:ind w:left="259"/>
      </w:pPr>
      <w:r>
        <w:rPr>
          <w:b/>
          <w:color w:val="1F4E78"/>
        </w:rPr>
        <w:t xml:space="preserve">Campos-chave: </w:t>
      </w:r>
      <w:r>
        <w:t>ProductSubcategoryKey; ProductCategoryKey; EnglishProductSubcategoryName; ProductCategoryKey; EnglishProductCategoryName.</w:t>
      </w:r>
    </w:p>
    <w:p>
      <w:pPr>
        <w:pStyle w:val="Heading2"/>
        <w:keepNext/>
      </w:pPr>
      <w:r>
        <w:t>5.6 DimSalesTerritory - onde a venda é gerenciada?</w:t>
      </w:r>
    </w:p>
    <w:p>
      <w:r>
        <w:t>Representa a estrutura comercial e conecta-se diretamente à fato por SalesTerritoryKey. Permite comparar regiões, países e grupos territoriais.</w:t>
      </w:r>
    </w:p>
    <w:p>
      <w:pPr>
        <w:ind w:left="259"/>
      </w:pPr>
      <w:r>
        <w:rPr>
          <w:b/>
          <w:color w:val="1F4E78"/>
        </w:rPr>
        <w:t xml:space="preserve">Campos-chave: </w:t>
      </w:r>
      <w:r>
        <w:t>SalesTerritoryKey; SalesTerritoryRegion; SalesTerritoryCountry; SalesTerritoryGroup.</w:t>
      </w:r>
    </w:p>
    <w:p>
      <w:r>
        <w:rPr>
          <w:b/>
        </w:rPr>
        <w:t xml:space="preserve">Categorias identificadas: </w:t>
      </w:r>
      <w:r>
        <w:t>Bikes, Components, Clothing, Accessories.</w:t>
      </w:r>
    </w:p>
    <w:p>
      <w:r>
        <w:rPr>
          <w:b/>
        </w:rPr>
        <w:t xml:space="preserve">Exemplos de subcategorias: </w:t>
      </w:r>
      <w:r>
        <w:t>Mountain Bikes, Road Bikes, Touring Bikes, Handlebars, Bottom Brackets, Brakes, Chains, Cranksets, Derailleurs, Forks, entre outras.</w:t>
      </w:r>
    </w:p>
    <w:p>
      <w:pPr>
        <w:pStyle w:val="Heading1"/>
        <w:keepNext/>
      </w:pPr>
      <w:r>
        <w:t>6. Estrutura de relacionamentos</w:t>
      </w:r>
    </w:p>
    <w:p>
      <w:pPr>
        <w:jc w:val="center"/>
      </w:pPr>
      <w:r>
        <w:rPr>
          <w:rFonts w:ascii="Consolas" w:hAnsi="Consolas"/>
          <w:color w:val="1F2937"/>
          <w:sz w:val="17"/>
        </w:rPr>
        <w:t xml:space="preserve">                         DimDate</w:t>
        <w:br/>
        <w:t xml:space="preserve">                            │</w:t>
        <w:br/>
        <w:t xml:space="preserve">                            ▼</w:t>
        <w:br/>
        <w:t>DimCustomer ─────── FactInternetSales ─────── DimProduct</w:t>
        <w:br/>
        <w:t xml:space="preserve">     │                       │                    │</w:t>
        <w:br/>
        <w:t xml:space="preserve">     ▼                       ▼                    ▼</w:t>
        <w:br/>
        <w:t>DimGeography          DimSalesTerritory   DimProductSubcategory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   DimProductCategory</w:t>
      </w:r>
    </w:p>
    <w:p>
      <w:r>
        <w:t>A estrutura apresenta características de esquema snowflake porque produto, subcategoria e categoria permanecem normalizados em tabelas distintas; cliente e geografia também formam uma cadeia dimensional. No Power BI, essa estrutura pode ser preservada inicialmente e posteriormente simplificada caso a modelagem e a usabilidade indiquem vantagem na desnormalização.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488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Relacionamento previsto</w:t>
            </w:r>
          </w:p>
        </w:tc>
        <w:tc>
          <w:tcPr>
            <w:tcW w:type="dxa" w:w="1728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Cardinalidade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DimDate[DateKey] → FactInternetSales[OrderDateKey]</w:t>
            </w:r>
          </w:p>
        </w:tc>
        <w:tc>
          <w:tcPr>
            <w:tcW w:type="dxa" w:w="17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DimCustomer[CustomerKey] → FactInternetSales[CustomerKey]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DimGeography[GeographyKey] → DimCustomer[GeographyKey]</w:t>
            </w:r>
          </w:p>
        </w:tc>
        <w:tc>
          <w:tcPr>
            <w:tcW w:type="dxa" w:w="17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DimProduct[ProductKey] → FactInternetSales[ProductKey]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DimProductSubcategory[ProductSubcategoryKey] → DimProduct[ProductSubcategoryKey]</w:t>
            </w:r>
          </w:p>
        </w:tc>
        <w:tc>
          <w:tcPr>
            <w:tcW w:type="dxa" w:w="17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DimProductCategory[ProductCategoryKey] → DimProductSubcategory[ProductCategoryKey]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DimSalesTerritory[SalesTerritoryKey] → FactInternetSales[SalesTerritoryKey]</w:t>
            </w:r>
          </w:p>
        </w:tc>
        <w:tc>
          <w:tcPr>
            <w:tcW w:type="dxa" w:w="17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1 : N</w:t>
            </w:r>
          </w:p>
        </w:tc>
      </w:tr>
    </w:tbl>
    <w:p>
      <w:pPr>
        <w:pStyle w:val="Heading1"/>
        <w:keepNext/>
      </w:pPr>
      <w:r>
        <w:t>7. Relação entre dados e KPIs planejados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KPI / análise</w:t>
            </w:r>
          </w:p>
        </w:tc>
        <w:tc>
          <w:tcPr>
            <w:tcW w:type="dxa" w:w="6120"/>
            <w:shd w:fill="1F4E7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Campos/tabelas de suporte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Receita total</w:t>
            </w:r>
          </w:p>
        </w:tc>
        <w:tc>
          <w:tcPr>
            <w:tcW w:type="dxa" w:w="61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FactInternetSales[SalesAmount]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Lucro bruto</w:t>
            </w:r>
          </w:p>
        </w:tc>
        <w:tc>
          <w:tcPr>
            <w:tcW w:type="dxa" w:w="612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SalesAmount e TotalProductCost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Margem bruta %</w:t>
            </w:r>
          </w:p>
        </w:tc>
        <w:tc>
          <w:tcPr>
            <w:tcW w:type="dxa" w:w="61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Lucro bruto / SalesAmount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Quantidade de pedidos</w:t>
            </w:r>
          </w:p>
        </w:tc>
        <w:tc>
          <w:tcPr>
            <w:tcW w:type="dxa" w:w="612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DISTINCTCOUNT de SalesOrderNumber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Ticket médio</w:t>
            </w:r>
          </w:p>
        </w:tc>
        <w:tc>
          <w:tcPr>
            <w:tcW w:type="dxa" w:w="61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Receita / quantidade de pedidos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Unidades vendidas</w:t>
            </w:r>
          </w:p>
        </w:tc>
        <w:tc>
          <w:tcPr>
            <w:tcW w:type="dxa" w:w="612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SUM de OrderQuantity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Clientes únicos</w:t>
            </w:r>
          </w:p>
        </w:tc>
        <w:tc>
          <w:tcPr>
            <w:tcW w:type="dxa" w:w="61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DISTINCTCOUNT de CustomerKey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Clientes recorrentes</w:t>
            </w:r>
          </w:p>
        </w:tc>
        <w:tc>
          <w:tcPr>
            <w:tcW w:type="dxa" w:w="612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CustomerKey + SalesOrderNumber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Crescimento YoY</w:t>
            </w:r>
          </w:p>
        </w:tc>
        <w:tc>
          <w:tcPr>
            <w:tcW w:type="dxa" w:w="61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SalesAmount + DimDate[CalendarYear]/data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Prazo médio de envio</w:t>
            </w:r>
          </w:p>
        </w:tc>
        <w:tc>
          <w:tcPr>
            <w:tcW w:type="dxa" w:w="6120"/>
            <w:vAlign w:val="center"/>
            <w:shd w:fill="F4F7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color w:val="1F2937"/>
                <w:sz w:val="16"/>
              </w:rPr>
              <w:t>OrderDate e ShipDate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Conclusão</w:t>
      </w:r>
    </w:p>
    <w:p>
      <w:r>
        <w:t>A análise confirma que o conjunto de oito tabelas é suficiente para o escopo definido da Demonstração de Competência. A FactInternetSales concentra o evento de venda e suas medidas; as dimensões fornecem contexto temporal, de cliente, geográfico, comercial e de produto. Também foi confirmada a viabilidade técnica dos dez KPIs planejados. Com isso, a etapa de entendimento de fatos e dimensões está concluída e o projeto pode avançar para a preparação do modelo no Power BI, com revisão de colunas, tipos de dados e relacionamentos.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</w:tcPr>
          <w:p>
            <w:r>
              <w:rPr>
                <w:color w:val="2E7D32"/>
                <w:sz w:val="19"/>
              </w:rPr>
              <w:t>✓ Tabela fato e grão identificados</w:t>
              <w:br/>
            </w:r>
            <w:r>
              <w:rPr>
                <w:color w:val="2E7D32"/>
                <w:sz w:val="19"/>
              </w:rPr>
              <w:t>✓ Dimensões e chaves principais identificadas</w:t>
              <w:br/>
            </w:r>
            <w:r>
              <w:rPr>
                <w:color w:val="2E7D32"/>
                <w:sz w:val="19"/>
              </w:rPr>
              <w:t>✓ Hierarquia de produtos compreendida</w:t>
              <w:br/>
            </w:r>
            <w:r>
              <w:rPr>
                <w:color w:val="2E7D32"/>
                <w:sz w:val="19"/>
              </w:rPr>
              <w:t>✓ Papéis de data reconhecidos</w:t>
              <w:br/>
            </w:r>
            <w:r>
              <w:rPr>
                <w:color w:val="2E7D32"/>
                <w:sz w:val="19"/>
              </w:rPr>
              <w:t>✓ Campos financeiros validados</w:t>
              <w:br/>
            </w:r>
            <w:r>
              <w:rPr>
                <w:color w:val="2E7D32"/>
                <w:sz w:val="19"/>
              </w:rPr>
              <w:t>✓ Relacionamentos conceituais definidos</w:t>
              <w:br/>
            </w:r>
            <w:r>
              <w:rPr>
                <w:color w:val="2E7D32"/>
                <w:sz w:val="19"/>
              </w:rPr>
              <w:t>✓ Suporte aos KPIs confirmado</w:t>
              <w:br/>
            </w:r>
          </w:p>
        </w:tc>
      </w:tr>
    </w:tbl>
    <w:p>
      <w:pPr>
        <w:pStyle w:val="Heading1"/>
        <w:keepNext/>
      </w:pPr>
      <w:r>
        <w:t>9. Referências</w:t>
      </w:r>
    </w:p>
    <w:p>
      <w:pPr>
        <w:ind w:left="144" w:hanging="144"/>
      </w:pPr>
      <w:r>
        <w:rPr>
          <w:b/>
        </w:rPr>
        <w:t xml:space="preserve">• Microsoft Learn - Entender o esquema em estrela e a importância para o Power BI. </w:t>
      </w:r>
      <w:hyperlink r:id="rId12">
        <w:r>
          <w:rPr>
            <w:color w:val="0563C1"/>
            <w:u w:val="single"/>
          </w:rPr>
          <w:t>https://learn.microsoft.com/pt-br/power-bi/guidance/star-schema</w:t>
        </w:r>
      </w:hyperlink>
    </w:p>
    <w:p>
      <w:pPr>
        <w:ind w:left="144" w:hanging="144"/>
      </w:pPr>
      <w:r>
        <w:rPr>
          <w:b/>
        </w:rPr>
        <w:t xml:space="preserve">• Microsoft SQL Server Samples - script oficial de instalação do AdventureWorksDW (instawdbdw.sql). </w:t>
      </w:r>
      <w:hyperlink r:id="rId13">
        <w:r>
          <w:rPr>
            <w:color w:val="0563C1"/>
            <w:u w:val="single"/>
          </w:rPr>
          <w:t>https://github.com/microsoft/sql-server-samples/blob/master/samples/databases/adventure-works/data-warehouse-install-script/instawdbdw.sql</w:t>
        </w:r>
      </w:hyperlink>
    </w:p>
    <w:p>
      <w:pPr>
        <w:ind w:left="144" w:hanging="144"/>
      </w:pPr>
      <w:r>
        <w:rPr>
          <w:b/>
        </w:rPr>
        <w:t xml:space="preserve">• Microsoft Learn - Tutorial: do modelo dimensional ao relatório no Power BI Desktop. </w:t>
      </w:r>
      <w:hyperlink r:id="rId14">
        <w:r>
          <w:rPr>
            <w:color w:val="0563C1"/>
            <w:u w:val="single"/>
          </w:rPr>
          <w:t>https://learn.microsoft.com/pt-br/power-bi/create-reports/desktop-dimensional-model-report</w:t>
        </w:r>
      </w:hyperlink>
    </w:p>
    <w:p>
      <w:pPr>
        <w:pStyle w:val="CaptionSmall"/>
      </w:pPr>
      <w:r>
        <w:t>Arquivos de evidência analisados: DimCustomer.csv, DimDate.csv, DimGeography.csv, DimProduct.csv, DimProductCategory.csv, DimProductSubcategory.csv, DimSalesTerritory.csv, FactInternetSales.csv e captura do Power Query fornecida durante a execução da tarefa.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Relatório técnico - Tarefa 5 |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UniSales | Demonstração de Competência | AdventureWorksDW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spacing w:after="120"/>
    </w:pPr>
    <w:rPr>
      <w:rFonts w:ascii="Aptos" w:hAnsi="Aptos"/>
      <w:i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earn.microsoft.com/pt-br/power-bi/guidance/star-schema" TargetMode="External"/><Relationship Id="rId13" Type="http://schemas.openxmlformats.org/officeDocument/2006/relationships/hyperlink" Target="https://github.com/microsoft/sql-server-samples/blob/master/samples/databases/adventure-works/data-warehouse-install-script/instawdbdw.sql" TargetMode="External"/><Relationship Id="rId14" Type="http://schemas.openxmlformats.org/officeDocument/2006/relationships/hyperlink" Target="https://learn.microsoft.com/pt-br/power-bi/create-reports/desktop-dimensional-model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